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02" w:rsidRPr="000A09C4" w:rsidRDefault="00CC3302" w:rsidP="00CC3302">
      <w:pPr>
        <w:jc w:val="left"/>
      </w:pPr>
      <w:r w:rsidRPr="000A09C4">
        <w:t xml:space="preserve">Załącznik nr </w:t>
      </w:r>
      <w:r>
        <w:t>1</w:t>
      </w:r>
      <w:r w:rsidRPr="000A09C4">
        <w:t xml:space="preserve"> do Zapytania ofertowego.</w:t>
      </w:r>
    </w:p>
    <w:p w:rsidR="00CC3302" w:rsidRPr="000A09C4" w:rsidRDefault="00CC3302" w:rsidP="00CC3302">
      <w:pPr>
        <w:rPr>
          <w:b/>
          <w:sz w:val="24"/>
          <w:szCs w:val="24"/>
        </w:rPr>
      </w:pPr>
    </w:p>
    <w:p w:rsidR="00CC3302" w:rsidRPr="003B11D3" w:rsidRDefault="00CC3302" w:rsidP="00CC3302">
      <w:pPr>
        <w:jc w:val="center"/>
        <w:rPr>
          <w:b/>
          <w:sz w:val="16"/>
          <w:szCs w:val="16"/>
        </w:rPr>
      </w:pPr>
    </w:p>
    <w:p w:rsidR="00CC3302" w:rsidRPr="000A09C4" w:rsidRDefault="00CC3302" w:rsidP="00CC3302">
      <w:pPr>
        <w:jc w:val="center"/>
        <w:rPr>
          <w:b/>
          <w:sz w:val="24"/>
          <w:szCs w:val="24"/>
        </w:rPr>
      </w:pPr>
      <w:r w:rsidRPr="000A09C4">
        <w:rPr>
          <w:b/>
          <w:sz w:val="24"/>
          <w:szCs w:val="24"/>
        </w:rPr>
        <w:t>OPIS PRZEDMIOTU ZAMÓWIENIA</w:t>
      </w:r>
    </w:p>
    <w:p w:rsidR="00CC3302" w:rsidRPr="00997DD8" w:rsidRDefault="00CC3302" w:rsidP="00CC3302">
      <w:pPr>
        <w:jc w:val="center"/>
        <w:rPr>
          <w:b/>
        </w:rPr>
      </w:pPr>
    </w:p>
    <w:p w:rsidR="00CC3302" w:rsidRPr="00B37584" w:rsidRDefault="00CC3302" w:rsidP="00CC3302">
      <w:pPr>
        <w:ind w:left="285" w:hanging="285"/>
        <w:rPr>
          <w:b/>
          <w:spacing w:val="-4"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 w:rsidRPr="00B37584">
        <w:rPr>
          <w:b/>
          <w:bCs/>
          <w:iCs/>
          <w:sz w:val="24"/>
          <w:szCs w:val="24"/>
        </w:rPr>
        <w:t xml:space="preserve">Zadanie </w:t>
      </w:r>
      <w:r w:rsidR="009A2E6C">
        <w:rPr>
          <w:b/>
          <w:bCs/>
          <w:iCs/>
          <w:sz w:val="24"/>
          <w:szCs w:val="24"/>
        </w:rPr>
        <w:t xml:space="preserve">remontowe </w:t>
      </w:r>
      <w:r w:rsidRPr="00B37584">
        <w:rPr>
          <w:b/>
          <w:bCs/>
          <w:iCs/>
          <w:sz w:val="24"/>
          <w:szCs w:val="24"/>
        </w:rPr>
        <w:t>pn.</w:t>
      </w:r>
      <w:r>
        <w:rPr>
          <w:b/>
          <w:bCs/>
          <w:iCs/>
          <w:sz w:val="24"/>
          <w:szCs w:val="24"/>
        </w:rPr>
        <w:t xml:space="preserve">: </w:t>
      </w:r>
      <w:r w:rsidRPr="003C2196">
        <w:rPr>
          <w:b/>
          <w:spacing w:val="-4"/>
          <w:sz w:val="22"/>
          <w:szCs w:val="22"/>
        </w:rPr>
        <w:t>„</w:t>
      </w:r>
      <w:r>
        <w:rPr>
          <w:b/>
          <w:spacing w:val="-4"/>
          <w:sz w:val="22"/>
          <w:szCs w:val="22"/>
        </w:rPr>
        <w:t xml:space="preserve">Remont oświetlenia ewakuacyjnego w budynku nr 35 w m. Przemyśl </w:t>
      </w:r>
      <w:r w:rsidR="009A2E6C">
        <w:rPr>
          <w:b/>
          <w:spacing w:val="-4"/>
          <w:sz w:val="22"/>
          <w:szCs w:val="22"/>
        </w:rPr>
        <w:tab/>
      </w:r>
      <w:r w:rsidR="009A2E6C">
        <w:rPr>
          <w:b/>
          <w:spacing w:val="-4"/>
          <w:sz w:val="22"/>
          <w:szCs w:val="22"/>
        </w:rPr>
        <w:tab/>
      </w:r>
      <w:r w:rsidR="009A2E6C">
        <w:rPr>
          <w:b/>
          <w:spacing w:val="-4"/>
          <w:sz w:val="22"/>
          <w:szCs w:val="22"/>
        </w:rPr>
        <w:tab/>
      </w:r>
      <w:r w:rsidR="009A2E6C">
        <w:rPr>
          <w:b/>
          <w:spacing w:val="-4"/>
          <w:sz w:val="22"/>
          <w:szCs w:val="22"/>
        </w:rPr>
        <w:tab/>
      </w:r>
      <w:r>
        <w:rPr>
          <w:b/>
          <w:spacing w:val="-4"/>
          <w:sz w:val="22"/>
          <w:szCs w:val="22"/>
        </w:rPr>
        <w:t>– etap I”.</w:t>
      </w:r>
    </w:p>
    <w:p w:rsidR="00CC3302" w:rsidRPr="004449D1" w:rsidRDefault="00CC3302" w:rsidP="00FD06E3">
      <w:pPr>
        <w:ind w:left="285" w:hanging="285"/>
        <w:rPr>
          <w:b/>
          <w:spacing w:val="-4"/>
        </w:rPr>
      </w:pPr>
    </w:p>
    <w:p w:rsidR="00CC3302" w:rsidRPr="00F611BE" w:rsidRDefault="00CC3302" w:rsidP="00FD06E3">
      <w:pPr>
        <w:pStyle w:val="Akapitzlist"/>
        <w:numPr>
          <w:ilvl w:val="0"/>
          <w:numId w:val="2"/>
        </w:numPr>
        <w:spacing w:line="276" w:lineRule="auto"/>
        <w:rPr>
          <w:b/>
          <w:spacing w:val="-4"/>
          <w:sz w:val="24"/>
          <w:szCs w:val="24"/>
        </w:rPr>
      </w:pPr>
      <w:r w:rsidRPr="00F611BE">
        <w:rPr>
          <w:b/>
          <w:sz w:val="24"/>
          <w:szCs w:val="24"/>
        </w:rPr>
        <w:t>Przedmiot i zakres opracowania</w:t>
      </w:r>
    </w:p>
    <w:p w:rsidR="00CC3302" w:rsidRDefault="00CC3302" w:rsidP="00FD06E3">
      <w:pPr>
        <w:pStyle w:val="Akapitzlist"/>
        <w:spacing w:line="276" w:lineRule="auto"/>
        <w:ind w:left="360" w:firstLine="0"/>
        <w:rPr>
          <w:spacing w:val="-4"/>
          <w:sz w:val="24"/>
          <w:szCs w:val="24"/>
        </w:rPr>
      </w:pPr>
      <w:r w:rsidRPr="004E71FA">
        <w:rPr>
          <w:sz w:val="24"/>
          <w:szCs w:val="24"/>
        </w:rPr>
        <w:t>Przedmiotem opracowania jest opis przedmiotu zamówienia dla wykonania zadania                      pn.:</w:t>
      </w:r>
      <w:r w:rsidRPr="004E71FA">
        <w:rPr>
          <w:b/>
          <w:bCs/>
          <w:iCs/>
          <w:sz w:val="24"/>
          <w:szCs w:val="24"/>
        </w:rPr>
        <w:t xml:space="preserve"> </w:t>
      </w:r>
      <w:r w:rsidRPr="00FA3380">
        <w:rPr>
          <w:bCs/>
          <w:iCs/>
          <w:sz w:val="24"/>
          <w:szCs w:val="24"/>
        </w:rPr>
        <w:t>„</w:t>
      </w:r>
      <w:r w:rsidRPr="00FA3380">
        <w:rPr>
          <w:spacing w:val="-4"/>
          <w:sz w:val="22"/>
          <w:szCs w:val="22"/>
        </w:rPr>
        <w:t>Remont oświetlenia ewakuacyjnego w budynku nr 35 w m. Przemyśl – etap I”</w:t>
      </w:r>
      <w:r w:rsidRPr="00FA3380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B931EB">
        <w:rPr>
          <w:spacing w:val="-4"/>
          <w:sz w:val="24"/>
          <w:szCs w:val="24"/>
        </w:rPr>
        <w:t xml:space="preserve">Zakres prac </w:t>
      </w:r>
      <w:r>
        <w:rPr>
          <w:spacing w:val="-4"/>
          <w:sz w:val="24"/>
          <w:szCs w:val="24"/>
        </w:rPr>
        <w:t>obejmuje dostarczenie i montaż opraw oświetlenia ewakuacyjnego.</w:t>
      </w:r>
    </w:p>
    <w:p w:rsidR="00CC3302" w:rsidRPr="009A2E6C" w:rsidRDefault="00CC3302" w:rsidP="00FD06E3">
      <w:pPr>
        <w:pStyle w:val="Akapitzlist"/>
        <w:spacing w:line="276" w:lineRule="auto"/>
        <w:ind w:left="360" w:firstLine="0"/>
        <w:rPr>
          <w:spacing w:val="-4"/>
          <w:sz w:val="16"/>
          <w:szCs w:val="16"/>
        </w:rPr>
      </w:pPr>
    </w:p>
    <w:p w:rsidR="00CC3302" w:rsidRPr="00F611BE" w:rsidRDefault="00CC3302" w:rsidP="00FD06E3">
      <w:pPr>
        <w:pStyle w:val="Akapitzlist"/>
        <w:numPr>
          <w:ilvl w:val="0"/>
          <w:numId w:val="2"/>
        </w:numPr>
        <w:spacing w:line="276" w:lineRule="auto"/>
        <w:rPr>
          <w:spacing w:val="-4"/>
          <w:sz w:val="24"/>
          <w:szCs w:val="24"/>
        </w:rPr>
      </w:pPr>
      <w:r w:rsidRPr="00F611BE">
        <w:rPr>
          <w:b/>
          <w:spacing w:val="-4"/>
          <w:sz w:val="24"/>
          <w:szCs w:val="24"/>
        </w:rPr>
        <w:t>Lokalizacja przedmiotu zamówienia</w:t>
      </w:r>
    </w:p>
    <w:p w:rsidR="00CC3302" w:rsidRDefault="00CC3302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Miejscem realizacji zamówienia jest budynek nr 35 na terenie Komendy Bieszczadzkiego Oddziału Straży Granicznej w Przemyślu. Adres: ul. Mickiewicza 34, 37-700 Przemyśl</w:t>
      </w:r>
      <w:r w:rsidRPr="00855723">
        <w:rPr>
          <w:sz w:val="24"/>
          <w:szCs w:val="24"/>
        </w:rPr>
        <w:t>.</w:t>
      </w:r>
    </w:p>
    <w:p w:rsidR="00CC3302" w:rsidRPr="009A2E6C" w:rsidRDefault="00CC3302" w:rsidP="00FD06E3">
      <w:pPr>
        <w:pStyle w:val="Akapitzlist"/>
        <w:suppressAutoHyphens/>
        <w:spacing w:line="276" w:lineRule="auto"/>
        <w:ind w:left="360" w:firstLine="0"/>
        <w:rPr>
          <w:sz w:val="16"/>
          <w:szCs w:val="16"/>
        </w:rPr>
      </w:pPr>
    </w:p>
    <w:p w:rsidR="00CC3302" w:rsidRDefault="00CC3302" w:rsidP="00FD06E3">
      <w:pPr>
        <w:pStyle w:val="Akapitzlist"/>
        <w:numPr>
          <w:ilvl w:val="3"/>
          <w:numId w:val="3"/>
        </w:numPr>
        <w:suppressAutoHyphens/>
        <w:spacing w:line="276" w:lineRule="auto"/>
        <w:rPr>
          <w:b/>
          <w:sz w:val="24"/>
          <w:szCs w:val="24"/>
        </w:rPr>
      </w:pPr>
      <w:r w:rsidRPr="00F611BE">
        <w:rPr>
          <w:b/>
          <w:sz w:val="24"/>
          <w:szCs w:val="24"/>
        </w:rPr>
        <w:t>Opis stanu istniejącego</w:t>
      </w:r>
    </w:p>
    <w:p w:rsidR="00CC3302" w:rsidRDefault="00CC3302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Oświetlenie awaryjne jest obecnie realizowane za pomocą modułów awaryjnych zabudowanych w istniejących oprawach oświetleniowych</w:t>
      </w:r>
      <w:r w:rsidR="00B931EB">
        <w:rPr>
          <w:sz w:val="24"/>
          <w:szCs w:val="24"/>
        </w:rPr>
        <w:t xml:space="preserve"> (oprawy rastrowe </w:t>
      </w:r>
      <w:r w:rsidR="00431CE0">
        <w:rPr>
          <w:sz w:val="24"/>
          <w:szCs w:val="24"/>
        </w:rPr>
        <w:t>świetlówkowe</w:t>
      </w:r>
      <w:r w:rsidR="00BF457D">
        <w:rPr>
          <w:sz w:val="24"/>
          <w:szCs w:val="24"/>
        </w:rPr>
        <w:t xml:space="preserve"> lub świetlówkowe typu OPK</w:t>
      </w:r>
      <w:r w:rsidR="00431CE0">
        <w:rPr>
          <w:sz w:val="24"/>
          <w:szCs w:val="24"/>
        </w:rPr>
        <w:t>)</w:t>
      </w:r>
      <w:r>
        <w:rPr>
          <w:sz w:val="24"/>
          <w:szCs w:val="24"/>
        </w:rPr>
        <w:t xml:space="preserve">. Moduły te integrują funkcję oświetlenia podstawowego oraz </w:t>
      </w:r>
      <w:proofErr w:type="spellStart"/>
      <w:r>
        <w:rPr>
          <w:sz w:val="24"/>
          <w:szCs w:val="24"/>
        </w:rPr>
        <w:t>awaryjno</w:t>
      </w:r>
      <w:proofErr w:type="spellEnd"/>
      <w:r w:rsidR="00BF457D">
        <w:rPr>
          <w:sz w:val="24"/>
          <w:szCs w:val="24"/>
        </w:rPr>
        <w:t>-ewakuacyjnego</w:t>
      </w:r>
      <w:r>
        <w:rPr>
          <w:sz w:val="24"/>
          <w:szCs w:val="24"/>
        </w:rPr>
        <w:t xml:space="preserve"> w jednej oprawie.</w:t>
      </w:r>
      <w:r w:rsidR="00705F10">
        <w:rPr>
          <w:sz w:val="24"/>
          <w:szCs w:val="24"/>
        </w:rPr>
        <w:t xml:space="preserve"> Oprawy ewakuacyjne z piktogramem kierunkowym </w:t>
      </w:r>
      <w:r w:rsidR="001B1904">
        <w:rPr>
          <w:sz w:val="24"/>
          <w:szCs w:val="24"/>
        </w:rPr>
        <w:t>występują</w:t>
      </w:r>
      <w:r w:rsidR="00BF457D">
        <w:rPr>
          <w:sz w:val="24"/>
          <w:szCs w:val="24"/>
        </w:rPr>
        <w:t xml:space="preserve"> w </w:t>
      </w:r>
      <w:r w:rsidR="00B931EB">
        <w:rPr>
          <w:sz w:val="24"/>
          <w:szCs w:val="24"/>
        </w:rPr>
        <w:t>wykonaniu natynkowym.</w:t>
      </w:r>
      <w:bookmarkStart w:id="0" w:name="_GoBack"/>
      <w:bookmarkEnd w:id="0"/>
    </w:p>
    <w:p w:rsidR="00CC3302" w:rsidRPr="009A2E6C" w:rsidRDefault="00CC3302" w:rsidP="00FD06E3">
      <w:pPr>
        <w:pStyle w:val="Akapitzlist"/>
        <w:suppressAutoHyphens/>
        <w:spacing w:line="276" w:lineRule="auto"/>
        <w:ind w:left="360" w:firstLine="0"/>
        <w:rPr>
          <w:sz w:val="16"/>
          <w:szCs w:val="16"/>
        </w:rPr>
      </w:pPr>
    </w:p>
    <w:p w:rsidR="00CC3302" w:rsidRDefault="009A2E6C" w:rsidP="00FD06E3">
      <w:pPr>
        <w:pStyle w:val="Akapitzlist"/>
        <w:numPr>
          <w:ilvl w:val="3"/>
          <w:numId w:val="3"/>
        </w:numPr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prac </w:t>
      </w:r>
      <w:r w:rsidR="00CC3302" w:rsidRPr="00327979">
        <w:rPr>
          <w:b/>
          <w:sz w:val="24"/>
          <w:szCs w:val="24"/>
        </w:rPr>
        <w:t>budowlanych</w:t>
      </w:r>
    </w:p>
    <w:p w:rsidR="00CC3302" w:rsidRDefault="00CC3302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 w:rsidRPr="00A5740D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ramach niniejszego zamówienia przewiduje się </w:t>
      </w:r>
      <w:r w:rsidR="00D774A1">
        <w:rPr>
          <w:sz w:val="24"/>
          <w:szCs w:val="24"/>
        </w:rPr>
        <w:t xml:space="preserve">wymianę </w:t>
      </w:r>
      <w:r>
        <w:rPr>
          <w:sz w:val="24"/>
          <w:szCs w:val="24"/>
        </w:rPr>
        <w:t>systemu oświetlenia awaryjnego poprzez montaż nowych samodzielny</w:t>
      </w:r>
      <w:r w:rsidR="00D774A1">
        <w:rPr>
          <w:sz w:val="24"/>
          <w:szCs w:val="24"/>
        </w:rPr>
        <w:t>ch opraw oświetlenia awaryjnego</w:t>
      </w:r>
      <w:r>
        <w:rPr>
          <w:sz w:val="24"/>
          <w:szCs w:val="24"/>
        </w:rPr>
        <w:t xml:space="preserve"> instalowanych poza oprawami oświetlenia </w:t>
      </w:r>
      <w:r w:rsidR="00431CE0">
        <w:rPr>
          <w:sz w:val="24"/>
          <w:szCs w:val="24"/>
        </w:rPr>
        <w:t>podstawowego lub w miejscu istniejących</w:t>
      </w:r>
      <w:r w:rsidR="00D774A1">
        <w:rPr>
          <w:sz w:val="24"/>
          <w:szCs w:val="24"/>
        </w:rPr>
        <w:t xml:space="preserve"> (opraw ewakuacyjnych)</w:t>
      </w:r>
      <w:r w:rsidR="00431CE0">
        <w:rPr>
          <w:sz w:val="24"/>
          <w:szCs w:val="24"/>
        </w:rPr>
        <w:t>.</w:t>
      </w:r>
    </w:p>
    <w:p w:rsidR="009A2E6C" w:rsidRPr="009A2E6C" w:rsidRDefault="009A2E6C" w:rsidP="00FD06E3">
      <w:pPr>
        <w:pStyle w:val="Akapitzlist"/>
        <w:suppressAutoHyphens/>
        <w:spacing w:line="276" w:lineRule="auto"/>
        <w:ind w:left="360" w:firstLine="0"/>
        <w:rPr>
          <w:sz w:val="16"/>
          <w:szCs w:val="16"/>
        </w:rPr>
      </w:pPr>
    </w:p>
    <w:p w:rsidR="00FD06E3" w:rsidRPr="00FD06E3" w:rsidRDefault="00431CE0" w:rsidP="00FD06E3">
      <w:pPr>
        <w:pStyle w:val="Akapitzlist"/>
        <w:numPr>
          <w:ilvl w:val="0"/>
          <w:numId w:val="18"/>
        </w:numPr>
        <w:suppressAutoHyphens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31CE0">
        <w:rPr>
          <w:b/>
          <w:sz w:val="24"/>
          <w:szCs w:val="24"/>
        </w:rPr>
        <w:t xml:space="preserve">Wymiana awaryjnego </w:t>
      </w:r>
      <w:r w:rsidR="000A0140">
        <w:rPr>
          <w:b/>
          <w:sz w:val="24"/>
          <w:szCs w:val="24"/>
        </w:rPr>
        <w:t xml:space="preserve">oświetlenia ewakuacyjnego </w:t>
      </w:r>
      <w:r>
        <w:rPr>
          <w:b/>
          <w:sz w:val="24"/>
          <w:szCs w:val="24"/>
        </w:rPr>
        <w:t xml:space="preserve">na </w:t>
      </w:r>
      <w:r w:rsidRPr="00431CE0">
        <w:rPr>
          <w:b/>
          <w:sz w:val="24"/>
          <w:szCs w:val="24"/>
        </w:rPr>
        <w:t>I pięt</w:t>
      </w:r>
      <w:r>
        <w:rPr>
          <w:b/>
          <w:sz w:val="24"/>
          <w:szCs w:val="24"/>
        </w:rPr>
        <w:t>rze</w:t>
      </w:r>
      <w:r w:rsidR="007A7677">
        <w:rPr>
          <w:b/>
          <w:sz w:val="24"/>
          <w:szCs w:val="24"/>
        </w:rPr>
        <w:t>,</w:t>
      </w:r>
      <w:r w:rsidR="00C97030">
        <w:rPr>
          <w:b/>
          <w:sz w:val="24"/>
          <w:szCs w:val="24"/>
        </w:rPr>
        <w:t xml:space="preserve"> </w:t>
      </w:r>
      <w:r w:rsidR="000607D7">
        <w:rPr>
          <w:b/>
          <w:sz w:val="24"/>
          <w:szCs w:val="24"/>
        </w:rPr>
        <w:t xml:space="preserve">dwóch </w:t>
      </w:r>
      <w:r w:rsidRPr="00431CE0">
        <w:rPr>
          <w:b/>
          <w:sz w:val="24"/>
          <w:szCs w:val="24"/>
        </w:rPr>
        <w:t>klatk</w:t>
      </w:r>
      <w:r>
        <w:rPr>
          <w:b/>
          <w:sz w:val="24"/>
          <w:szCs w:val="24"/>
        </w:rPr>
        <w:t>ach</w:t>
      </w:r>
      <w:r w:rsidRPr="00431CE0">
        <w:rPr>
          <w:b/>
          <w:sz w:val="24"/>
          <w:szCs w:val="24"/>
        </w:rPr>
        <w:t xml:space="preserve"> schodow</w:t>
      </w:r>
      <w:r>
        <w:rPr>
          <w:b/>
          <w:sz w:val="24"/>
          <w:szCs w:val="24"/>
        </w:rPr>
        <w:t>ych</w:t>
      </w:r>
      <w:r w:rsidR="0057072F">
        <w:rPr>
          <w:b/>
          <w:sz w:val="24"/>
          <w:szCs w:val="24"/>
        </w:rPr>
        <w:t>,</w:t>
      </w:r>
      <w:r w:rsidR="000607D7">
        <w:rPr>
          <w:b/>
          <w:sz w:val="24"/>
          <w:szCs w:val="24"/>
        </w:rPr>
        <w:t xml:space="preserve"> magazynie na poziomie piwnic, korytarzu przed magazynem</w:t>
      </w:r>
      <w:r w:rsidR="00351309">
        <w:rPr>
          <w:b/>
          <w:sz w:val="24"/>
          <w:szCs w:val="24"/>
        </w:rPr>
        <w:t xml:space="preserve"> </w:t>
      </w:r>
      <w:r w:rsidR="005524C8">
        <w:rPr>
          <w:b/>
          <w:sz w:val="24"/>
          <w:szCs w:val="24"/>
        </w:rPr>
        <w:t xml:space="preserve"> oraz korytarz</w:t>
      </w:r>
      <w:r w:rsidR="000607D7">
        <w:rPr>
          <w:b/>
          <w:sz w:val="24"/>
          <w:szCs w:val="24"/>
        </w:rPr>
        <w:t>u przy rozdzielni głównej</w:t>
      </w:r>
      <w:r w:rsidR="005524C8">
        <w:rPr>
          <w:b/>
          <w:sz w:val="24"/>
          <w:szCs w:val="24"/>
        </w:rPr>
        <w:t>.</w:t>
      </w:r>
    </w:p>
    <w:p w:rsidR="00431CE0" w:rsidRDefault="00705F10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Poniżej zestawienie ilościowe </w:t>
      </w:r>
      <w:r w:rsidR="00431CE0" w:rsidRPr="00431CE0">
        <w:rPr>
          <w:sz w:val="24"/>
          <w:szCs w:val="24"/>
        </w:rPr>
        <w:t>awaryjnego</w:t>
      </w:r>
      <w:r>
        <w:rPr>
          <w:sz w:val="24"/>
          <w:szCs w:val="24"/>
        </w:rPr>
        <w:t xml:space="preserve"> oświetlenia ewakuacyjnego</w:t>
      </w:r>
      <w:r w:rsidR="00431CE0">
        <w:rPr>
          <w:sz w:val="24"/>
          <w:szCs w:val="24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69"/>
        <w:gridCol w:w="1471"/>
        <w:gridCol w:w="1457"/>
        <w:gridCol w:w="1700"/>
        <w:gridCol w:w="1700"/>
        <w:gridCol w:w="1405"/>
      </w:tblGrid>
      <w:tr w:rsidR="00BB295A" w:rsidTr="00BB295A">
        <w:tc>
          <w:tcPr>
            <w:tcW w:w="1010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:rsidR="00BB295A" w:rsidRPr="002905D1" w:rsidRDefault="00BB295A" w:rsidP="00FD06E3">
            <w:pPr>
              <w:pStyle w:val="Akapitzlist"/>
              <w:suppressAutoHyphens/>
              <w:spacing w:line="276" w:lineRule="auto"/>
              <w:ind w:left="0" w:firstLine="0"/>
            </w:pPr>
            <w:r w:rsidRPr="002905D1">
              <w:t xml:space="preserve">Oprawa </w:t>
            </w:r>
            <w:proofErr w:type="spellStart"/>
            <w:r w:rsidRPr="002905D1">
              <w:t>oś</w:t>
            </w:r>
            <w:r>
              <w:t>w</w:t>
            </w:r>
            <w:proofErr w:type="spellEnd"/>
            <w:r>
              <w:t xml:space="preserve">. </w:t>
            </w:r>
            <w:r w:rsidRPr="002905D1">
              <w:t xml:space="preserve">awaryjnego </w:t>
            </w:r>
            <w:r>
              <w:t>pod</w:t>
            </w:r>
            <w:r w:rsidRPr="002905D1">
              <w:t>tynkowa</w:t>
            </w:r>
          </w:p>
        </w:tc>
        <w:tc>
          <w:tcPr>
            <w:tcW w:w="1507" w:type="dxa"/>
          </w:tcPr>
          <w:p w:rsidR="00BB295A" w:rsidRPr="002905D1" w:rsidRDefault="00BB295A" w:rsidP="00FD06E3">
            <w:pPr>
              <w:pStyle w:val="Akapitzlist"/>
              <w:suppressAutoHyphens/>
              <w:spacing w:line="276" w:lineRule="auto"/>
              <w:ind w:left="0" w:firstLine="0"/>
            </w:pPr>
            <w:r w:rsidRPr="002905D1">
              <w:t xml:space="preserve">Oprawa </w:t>
            </w:r>
            <w:proofErr w:type="spellStart"/>
            <w:r w:rsidRPr="002905D1">
              <w:t>ośw</w:t>
            </w:r>
            <w:proofErr w:type="spellEnd"/>
            <w:r>
              <w:t>.</w:t>
            </w:r>
            <w:r w:rsidRPr="002905D1">
              <w:t xml:space="preserve"> awaryjnego </w:t>
            </w:r>
            <w:r>
              <w:t>na</w:t>
            </w:r>
            <w:r w:rsidRPr="002905D1">
              <w:t>tynkowa</w:t>
            </w:r>
          </w:p>
        </w:tc>
        <w:tc>
          <w:tcPr>
            <w:tcW w:w="1739" w:type="dxa"/>
          </w:tcPr>
          <w:p w:rsidR="00BB295A" w:rsidRPr="002905D1" w:rsidRDefault="00BB295A" w:rsidP="00FD06E3">
            <w:pPr>
              <w:pStyle w:val="Akapitzlist"/>
              <w:suppressAutoHyphens/>
              <w:spacing w:line="276" w:lineRule="auto"/>
              <w:ind w:left="0" w:firstLine="0"/>
            </w:pPr>
            <w:r w:rsidRPr="002905D1">
              <w:t xml:space="preserve">Oprawa </w:t>
            </w:r>
            <w:proofErr w:type="spellStart"/>
            <w:r w:rsidRPr="002905D1">
              <w:t>oś</w:t>
            </w:r>
            <w:r>
              <w:t>w</w:t>
            </w:r>
            <w:proofErr w:type="spellEnd"/>
            <w:r>
              <w:t xml:space="preserve">. </w:t>
            </w:r>
            <w:r w:rsidRPr="002905D1">
              <w:t xml:space="preserve">ewakuacyjnego </w:t>
            </w:r>
            <w:r>
              <w:t xml:space="preserve">kierunkowego </w:t>
            </w:r>
            <w:r w:rsidRPr="002905D1">
              <w:t>sufitowa z pikt</w:t>
            </w:r>
            <w:r>
              <w:t>ogramem</w:t>
            </w:r>
          </w:p>
        </w:tc>
        <w:tc>
          <w:tcPr>
            <w:tcW w:w="1739" w:type="dxa"/>
          </w:tcPr>
          <w:p w:rsidR="00BB295A" w:rsidRPr="002905D1" w:rsidRDefault="00BB295A" w:rsidP="00FD06E3">
            <w:pPr>
              <w:pStyle w:val="Akapitzlist"/>
              <w:suppressAutoHyphens/>
              <w:spacing w:line="276" w:lineRule="auto"/>
              <w:ind w:left="0" w:firstLine="0"/>
            </w:pPr>
            <w:r w:rsidRPr="002905D1">
              <w:t xml:space="preserve">Oprawa </w:t>
            </w:r>
            <w:proofErr w:type="spellStart"/>
            <w:r w:rsidRPr="002905D1">
              <w:t>ośw</w:t>
            </w:r>
            <w:proofErr w:type="spellEnd"/>
            <w:r>
              <w:t xml:space="preserve">. </w:t>
            </w:r>
            <w:r w:rsidRPr="002905D1">
              <w:t xml:space="preserve">ewakuacyjnego </w:t>
            </w:r>
            <w:r>
              <w:t xml:space="preserve">kierunkowego </w:t>
            </w:r>
            <w:r w:rsidRPr="002905D1">
              <w:t>natynkowa z pikt</w:t>
            </w:r>
            <w:r>
              <w:t>ogramem</w:t>
            </w:r>
          </w:p>
        </w:tc>
        <w:tc>
          <w:tcPr>
            <w:tcW w:w="1193" w:type="dxa"/>
          </w:tcPr>
          <w:p w:rsidR="00BB295A" w:rsidRPr="002905D1" w:rsidRDefault="00BB295A" w:rsidP="00FD06E3">
            <w:pPr>
              <w:pStyle w:val="Akapitzlist"/>
              <w:suppressAutoHyphens/>
              <w:spacing w:line="276" w:lineRule="auto"/>
              <w:ind w:left="0" w:firstLine="0"/>
            </w:pPr>
            <w:r>
              <w:t xml:space="preserve">Łącznie wymienionych opraw </w:t>
            </w:r>
          </w:p>
        </w:tc>
      </w:tr>
      <w:tr w:rsidR="00BB295A" w:rsidTr="00BB295A">
        <w:tc>
          <w:tcPr>
            <w:tcW w:w="1010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sztuk</w:t>
            </w:r>
          </w:p>
        </w:tc>
        <w:tc>
          <w:tcPr>
            <w:tcW w:w="1514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07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39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BB295A" w:rsidRDefault="00BB295A" w:rsidP="00FD06E3">
            <w:pPr>
              <w:pStyle w:val="Akapitzlist"/>
              <w:suppressAutoHyphens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</w:tbl>
    <w:p w:rsidR="009A2E6C" w:rsidRDefault="009A2E6C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</w:p>
    <w:p w:rsidR="00CC3302" w:rsidRDefault="00CC3302" w:rsidP="00FD06E3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Prace obejmują w szczególności:</w:t>
      </w:r>
    </w:p>
    <w:p w:rsidR="00CC3302" w:rsidRPr="00705F10" w:rsidRDefault="00CC3302" w:rsidP="00FD06E3">
      <w:pPr>
        <w:pStyle w:val="Akapitzlist"/>
        <w:numPr>
          <w:ilvl w:val="0"/>
          <w:numId w:val="8"/>
        </w:numPr>
        <w:suppressAutoHyphens/>
        <w:spacing w:line="276" w:lineRule="auto"/>
        <w:rPr>
          <w:sz w:val="24"/>
          <w:szCs w:val="24"/>
        </w:rPr>
      </w:pPr>
      <w:r w:rsidRPr="00705F10">
        <w:rPr>
          <w:sz w:val="24"/>
          <w:szCs w:val="24"/>
        </w:rPr>
        <w:t xml:space="preserve">demontaż </w:t>
      </w:r>
      <w:r w:rsidR="00A7163F" w:rsidRPr="00705F10">
        <w:rPr>
          <w:sz w:val="24"/>
          <w:szCs w:val="24"/>
        </w:rPr>
        <w:t xml:space="preserve">i utylizacja </w:t>
      </w:r>
      <w:r w:rsidRPr="00705F10">
        <w:rPr>
          <w:sz w:val="24"/>
          <w:szCs w:val="24"/>
        </w:rPr>
        <w:t>istniejących modułów awaryjnych wbudowanych w oprawy podstawowe</w:t>
      </w:r>
      <w:r w:rsidR="00A7163F" w:rsidRPr="00705F10">
        <w:rPr>
          <w:sz w:val="24"/>
          <w:szCs w:val="24"/>
        </w:rPr>
        <w:t>,</w:t>
      </w:r>
    </w:p>
    <w:p w:rsidR="00CC3302" w:rsidRDefault="00CC3302" w:rsidP="00FD06E3">
      <w:pPr>
        <w:pStyle w:val="Akapitzlist"/>
        <w:numPr>
          <w:ilvl w:val="0"/>
          <w:numId w:val="8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montaż nowych opraw </w:t>
      </w:r>
      <w:r w:rsidR="00705F10">
        <w:rPr>
          <w:sz w:val="24"/>
          <w:szCs w:val="24"/>
        </w:rPr>
        <w:t xml:space="preserve">awaryjnego </w:t>
      </w:r>
      <w:r>
        <w:rPr>
          <w:sz w:val="24"/>
          <w:szCs w:val="24"/>
        </w:rPr>
        <w:t xml:space="preserve">oświetlenia </w:t>
      </w:r>
      <w:r w:rsidR="00705F10">
        <w:rPr>
          <w:sz w:val="24"/>
          <w:szCs w:val="24"/>
        </w:rPr>
        <w:t>ewakuacyjnego</w:t>
      </w:r>
      <w:r>
        <w:rPr>
          <w:sz w:val="24"/>
          <w:szCs w:val="24"/>
        </w:rPr>
        <w:t>:</w:t>
      </w:r>
    </w:p>
    <w:p w:rsidR="00705F10" w:rsidRDefault="00705F10" w:rsidP="00FD06E3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przygotowanie przewodów zasilających pod nowe oprawy,</w:t>
      </w:r>
    </w:p>
    <w:p w:rsidR="00CC3302" w:rsidRDefault="00705F10" w:rsidP="00FD06E3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montaż opraw w wykonaniu natynkowym</w:t>
      </w:r>
      <w:r w:rsidR="00CC3302">
        <w:rPr>
          <w:sz w:val="24"/>
          <w:szCs w:val="24"/>
        </w:rPr>
        <w:t xml:space="preserve"> na powierzchniach sufitów,</w:t>
      </w:r>
    </w:p>
    <w:p w:rsidR="00CC3302" w:rsidRDefault="00705F10" w:rsidP="00FD06E3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montaż opraw w wykonaniu podtynkowym </w:t>
      </w:r>
      <w:r w:rsidR="00CC3302">
        <w:rPr>
          <w:sz w:val="24"/>
          <w:szCs w:val="24"/>
        </w:rPr>
        <w:t>wpuszczanych w kasetony sufitowe,</w:t>
      </w:r>
    </w:p>
    <w:p w:rsidR="00CC3302" w:rsidRDefault="00705F10" w:rsidP="00FD06E3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montaż opraw </w:t>
      </w:r>
      <w:r w:rsidR="00CC3302">
        <w:rPr>
          <w:sz w:val="24"/>
          <w:szCs w:val="24"/>
        </w:rPr>
        <w:t>w miejscach dotychczasowych opraw natynkowych (oprawy ewakuacyjne),</w:t>
      </w:r>
    </w:p>
    <w:p w:rsidR="00CC3302" w:rsidRDefault="00CC3302" w:rsidP="00FD06E3">
      <w:pPr>
        <w:pStyle w:val="Akapitzlist"/>
        <w:numPr>
          <w:ilvl w:val="0"/>
          <w:numId w:val="8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uruchomienie </w:t>
      </w:r>
      <w:r w:rsidR="007C5F37">
        <w:rPr>
          <w:sz w:val="24"/>
          <w:szCs w:val="24"/>
        </w:rPr>
        <w:t>i sprawdzenie wymienionego oświetlenia ewakuacyjnego</w:t>
      </w:r>
    </w:p>
    <w:p w:rsidR="00CC3302" w:rsidRDefault="00CC3302" w:rsidP="00FD06E3">
      <w:pPr>
        <w:pStyle w:val="Akapitzlist"/>
        <w:numPr>
          <w:ilvl w:val="0"/>
          <w:numId w:val="11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pomiar natężenia oświetlenia awaryjnego,</w:t>
      </w:r>
    </w:p>
    <w:p w:rsidR="00CC3302" w:rsidRPr="003B11D3" w:rsidRDefault="00CC3302" w:rsidP="00FD06E3">
      <w:pPr>
        <w:pStyle w:val="Akapitzlist"/>
        <w:spacing w:line="276" w:lineRule="auto"/>
        <w:ind w:firstLine="0"/>
        <w:rPr>
          <w:sz w:val="18"/>
          <w:szCs w:val="18"/>
        </w:rPr>
      </w:pPr>
    </w:p>
    <w:p w:rsidR="00CC3302" w:rsidRPr="00FD06E3" w:rsidRDefault="00CC3302" w:rsidP="00FD06E3">
      <w:pPr>
        <w:pStyle w:val="Akapitzlist"/>
        <w:numPr>
          <w:ilvl w:val="3"/>
          <w:numId w:val="3"/>
        </w:numPr>
        <w:spacing w:line="276" w:lineRule="auto"/>
        <w:rPr>
          <w:b/>
          <w:sz w:val="24"/>
          <w:szCs w:val="24"/>
        </w:rPr>
      </w:pPr>
      <w:r w:rsidRPr="00941DFE">
        <w:rPr>
          <w:b/>
          <w:sz w:val="24"/>
          <w:szCs w:val="24"/>
        </w:rPr>
        <w:t>Wytyczne architektoniczno-budowlane:</w:t>
      </w:r>
    </w:p>
    <w:p w:rsidR="00CC3302" w:rsidRDefault="00CC3302" w:rsidP="00FD06E3">
      <w:pPr>
        <w:pStyle w:val="Akapitzlist"/>
        <w:spacing w:line="276" w:lineRule="auto"/>
        <w:ind w:left="360" w:firstLine="0"/>
        <w:rPr>
          <w:sz w:val="24"/>
          <w:szCs w:val="24"/>
        </w:rPr>
      </w:pPr>
      <w:r w:rsidRPr="00CC3302">
        <w:rPr>
          <w:sz w:val="24"/>
          <w:szCs w:val="24"/>
        </w:rPr>
        <w:t>W ramach realizacji</w:t>
      </w:r>
      <w:r>
        <w:rPr>
          <w:sz w:val="24"/>
          <w:szCs w:val="24"/>
        </w:rPr>
        <w:t xml:space="preserve"> zadania należy zastosować oprawy oświetlenia awaryjnego firmy AWEX </w:t>
      </w:r>
      <w:r w:rsidR="00C6538E">
        <w:rPr>
          <w:sz w:val="24"/>
          <w:szCs w:val="24"/>
        </w:rPr>
        <w:t xml:space="preserve">np. </w:t>
      </w:r>
      <w:r w:rsidR="00431CE0">
        <w:rPr>
          <w:sz w:val="24"/>
          <w:szCs w:val="24"/>
        </w:rPr>
        <w:t xml:space="preserve">model </w:t>
      </w:r>
      <w:proofErr w:type="spellStart"/>
      <w:r w:rsidR="006F4AF0">
        <w:rPr>
          <w:sz w:val="24"/>
          <w:szCs w:val="24"/>
        </w:rPr>
        <w:t>Lovato</w:t>
      </w:r>
      <w:proofErr w:type="spellEnd"/>
      <w:r w:rsidR="00C6538E">
        <w:rPr>
          <w:sz w:val="24"/>
          <w:szCs w:val="24"/>
        </w:rPr>
        <w:t xml:space="preserve"> P,N (kształt kwadratowy) </w:t>
      </w:r>
      <w:r>
        <w:rPr>
          <w:sz w:val="24"/>
          <w:szCs w:val="24"/>
        </w:rPr>
        <w:t>spełniające następujące minimalne parametry techniczne:</w:t>
      </w:r>
    </w:p>
    <w:p w:rsidR="00CC3302" w:rsidRDefault="00CC3302" w:rsidP="00FD06E3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moc źródła światła: min. 2W,</w:t>
      </w:r>
    </w:p>
    <w:p w:rsidR="00CC3302" w:rsidRDefault="00CC3302" w:rsidP="00FD06E3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czas podtrzymania pracy w trybie awaryjnym min. 2 h,</w:t>
      </w:r>
    </w:p>
    <w:p w:rsidR="00FD06E3" w:rsidRDefault="00FD06E3" w:rsidP="00FD06E3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oprawa ewakuacyjna kierunkowa z piktogramem, klosz przeźroczysty,</w:t>
      </w:r>
    </w:p>
    <w:p w:rsidR="00C6538E" w:rsidRDefault="00CC3302" w:rsidP="00FD06E3">
      <w:pPr>
        <w:pStyle w:val="Akapitzlist"/>
        <w:numPr>
          <w:ilvl w:val="0"/>
          <w:numId w:val="12"/>
        </w:num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wyposażenie w układ </w:t>
      </w:r>
      <w:proofErr w:type="spellStart"/>
      <w:r>
        <w:rPr>
          <w:sz w:val="24"/>
          <w:szCs w:val="24"/>
        </w:rPr>
        <w:t>autotestu</w:t>
      </w:r>
      <w:proofErr w:type="spellEnd"/>
      <w:r>
        <w:rPr>
          <w:sz w:val="24"/>
          <w:szCs w:val="24"/>
        </w:rPr>
        <w:t>,</w:t>
      </w:r>
    </w:p>
    <w:p w:rsidR="00C174D5" w:rsidRPr="00C6538E" w:rsidRDefault="00C174D5" w:rsidP="00FD06E3">
      <w:pPr>
        <w:pStyle w:val="Akapitzlist"/>
        <w:suppressAutoHyphens/>
        <w:spacing w:line="276" w:lineRule="auto"/>
        <w:ind w:left="1080" w:firstLine="0"/>
        <w:rPr>
          <w:sz w:val="24"/>
          <w:szCs w:val="24"/>
        </w:rPr>
      </w:pPr>
    </w:p>
    <w:p w:rsidR="006F4AF0" w:rsidRDefault="00C6538E" w:rsidP="00FD06E3">
      <w:pPr>
        <w:pStyle w:val="Akapitzlist"/>
        <w:suppressAutoHyphens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Wykonawca powinien uwzględnić, iż niektóre oprawy na klatkach schodowych zamontowane są na wysokości powyżej 3 m.</w:t>
      </w:r>
    </w:p>
    <w:p w:rsidR="00CC3302" w:rsidRPr="00CC3302" w:rsidRDefault="00CC3302" w:rsidP="00FD06E3">
      <w:pPr>
        <w:pStyle w:val="Akapitzlist"/>
        <w:suppressAutoHyphens/>
        <w:spacing w:line="276" w:lineRule="auto"/>
        <w:ind w:left="0" w:firstLine="0"/>
        <w:rPr>
          <w:sz w:val="24"/>
          <w:szCs w:val="24"/>
        </w:rPr>
      </w:pPr>
      <w:r w:rsidRPr="00CC3302">
        <w:rPr>
          <w:sz w:val="24"/>
          <w:szCs w:val="24"/>
        </w:rPr>
        <w:t>Oprawy powinny być montowane zgodnie z wytycznymi producenta.</w:t>
      </w:r>
    </w:p>
    <w:p w:rsidR="00F129F3" w:rsidRDefault="00F129F3"/>
    <w:sectPr w:rsidR="00F129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DB" w:rsidRDefault="0044715A">
      <w:r>
        <w:separator/>
      </w:r>
    </w:p>
  </w:endnote>
  <w:endnote w:type="continuationSeparator" w:id="0">
    <w:p w:rsidR="00A219DB" w:rsidRDefault="0044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130514"/>
      <w:docPartObj>
        <w:docPartGallery w:val="Page Numbers (Bottom of Page)"/>
        <w:docPartUnique/>
      </w:docPartObj>
    </w:sdtPr>
    <w:sdtEndPr/>
    <w:sdtContent>
      <w:p w:rsidR="00D8064D" w:rsidRDefault="006F0E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04">
          <w:rPr>
            <w:noProof/>
          </w:rPr>
          <w:t>2</w:t>
        </w:r>
        <w:r>
          <w:fldChar w:fldCharType="end"/>
        </w:r>
      </w:p>
    </w:sdtContent>
  </w:sdt>
  <w:p w:rsidR="00D8064D" w:rsidRDefault="001B1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DB" w:rsidRDefault="0044715A">
      <w:r>
        <w:separator/>
      </w:r>
    </w:p>
  </w:footnote>
  <w:footnote w:type="continuationSeparator" w:id="0">
    <w:p w:rsidR="00A219DB" w:rsidRDefault="0044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D" w:rsidRDefault="006F0ECD" w:rsidP="007804E3">
    <w:pPr>
      <w:tabs>
        <w:tab w:val="left" w:pos="3675"/>
      </w:tabs>
      <w:jc w:val="left"/>
      <w:rPr>
        <w:u w:val="single"/>
      </w:rPr>
    </w:pPr>
    <w:r>
      <w:rPr>
        <w:u w:val="single"/>
      </w:rPr>
      <w:t xml:space="preserve">         </w:t>
    </w:r>
  </w:p>
  <w:p w:rsidR="00D8064D" w:rsidRPr="00645342" w:rsidRDefault="001B1904" w:rsidP="007804E3">
    <w:pPr>
      <w:tabs>
        <w:tab w:val="left" w:pos="3675"/>
      </w:tabs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F67"/>
    <w:multiLevelType w:val="hybridMultilevel"/>
    <w:tmpl w:val="7324C80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872BF1"/>
    <w:multiLevelType w:val="hybridMultilevel"/>
    <w:tmpl w:val="F32EF186"/>
    <w:lvl w:ilvl="0" w:tplc="FDFAF0E4">
      <w:start w:val="4"/>
      <w:numFmt w:val="decimal"/>
      <w:lvlText w:val="%1.2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0BC"/>
    <w:multiLevelType w:val="hybridMultilevel"/>
    <w:tmpl w:val="657487C0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77C5399"/>
    <w:multiLevelType w:val="hybridMultilevel"/>
    <w:tmpl w:val="4720F3CC"/>
    <w:lvl w:ilvl="0" w:tplc="BA2481B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08D"/>
    <w:multiLevelType w:val="hybridMultilevel"/>
    <w:tmpl w:val="ED08FD46"/>
    <w:lvl w:ilvl="0" w:tplc="2A822BCA">
      <w:start w:val="6"/>
      <w:numFmt w:val="decimal"/>
      <w:lvlText w:val="%1.2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56B4"/>
    <w:multiLevelType w:val="hybridMultilevel"/>
    <w:tmpl w:val="610CA614"/>
    <w:lvl w:ilvl="0" w:tplc="BE72A4C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B22"/>
    <w:multiLevelType w:val="hybridMultilevel"/>
    <w:tmpl w:val="3384B00E"/>
    <w:lvl w:ilvl="0" w:tplc="6EF0815A">
      <w:start w:val="3"/>
      <w:numFmt w:val="decimal"/>
      <w:lvlText w:val="%1.3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62D0D"/>
    <w:multiLevelType w:val="hybridMultilevel"/>
    <w:tmpl w:val="F54289E6"/>
    <w:lvl w:ilvl="0" w:tplc="F97A87C4">
      <w:start w:val="6"/>
      <w:numFmt w:val="decimal"/>
      <w:lvlText w:val="%1.1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65558B"/>
    <w:multiLevelType w:val="hybridMultilevel"/>
    <w:tmpl w:val="F6B40446"/>
    <w:lvl w:ilvl="0" w:tplc="32B2433E">
      <w:start w:val="6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3148E"/>
    <w:multiLevelType w:val="hybridMultilevel"/>
    <w:tmpl w:val="A64068F0"/>
    <w:lvl w:ilvl="0" w:tplc="F97A87C4">
      <w:start w:val="6"/>
      <w:numFmt w:val="decimal"/>
      <w:lvlText w:val="%1.1"/>
      <w:lvlJc w:val="left"/>
      <w:pPr>
        <w:ind w:left="17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B0561DB"/>
    <w:multiLevelType w:val="hybridMultilevel"/>
    <w:tmpl w:val="16D2C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7D56EF34">
      <w:start w:val="3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E72D9"/>
    <w:multiLevelType w:val="hybridMultilevel"/>
    <w:tmpl w:val="5D829BFC"/>
    <w:lvl w:ilvl="0" w:tplc="A84AA8CE">
      <w:start w:val="4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708E"/>
    <w:multiLevelType w:val="hybridMultilevel"/>
    <w:tmpl w:val="7EEA7640"/>
    <w:lvl w:ilvl="0" w:tplc="40DE090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52B4CB1"/>
    <w:multiLevelType w:val="hybridMultilevel"/>
    <w:tmpl w:val="EA928F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D545CF"/>
    <w:multiLevelType w:val="hybridMultilevel"/>
    <w:tmpl w:val="02A84828"/>
    <w:lvl w:ilvl="0" w:tplc="8624B06E">
      <w:start w:val="6"/>
      <w:numFmt w:val="decimal"/>
      <w:lvlText w:val="%1.2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E016F5"/>
    <w:multiLevelType w:val="hybridMultilevel"/>
    <w:tmpl w:val="5F1AEB3E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57467315"/>
    <w:multiLevelType w:val="hybridMultilevel"/>
    <w:tmpl w:val="775EDCF6"/>
    <w:lvl w:ilvl="0" w:tplc="F97A87C4">
      <w:start w:val="6"/>
      <w:numFmt w:val="decimal"/>
      <w:lvlText w:val="%1.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9B3512"/>
    <w:multiLevelType w:val="hybridMultilevel"/>
    <w:tmpl w:val="8C1EDD90"/>
    <w:lvl w:ilvl="0" w:tplc="6EF0815A">
      <w:start w:val="3"/>
      <w:numFmt w:val="decimal"/>
      <w:lvlText w:val="%1.3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36902"/>
    <w:multiLevelType w:val="hybridMultilevel"/>
    <w:tmpl w:val="35EC149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1B3682"/>
    <w:multiLevelType w:val="hybridMultilevel"/>
    <w:tmpl w:val="AC7A665E"/>
    <w:lvl w:ilvl="0" w:tplc="85A0DE46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A2A6F6E"/>
    <w:multiLevelType w:val="hybridMultilevel"/>
    <w:tmpl w:val="23F49552"/>
    <w:lvl w:ilvl="0" w:tplc="D618E7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9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1"/>
  </w:num>
  <w:num w:numId="19">
    <w:abstractNumId w:val="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4"/>
    <w:rsid w:val="00024FAB"/>
    <w:rsid w:val="000607D7"/>
    <w:rsid w:val="000A0140"/>
    <w:rsid w:val="001B1904"/>
    <w:rsid w:val="002905D1"/>
    <w:rsid w:val="00351309"/>
    <w:rsid w:val="00431CE0"/>
    <w:rsid w:val="0044715A"/>
    <w:rsid w:val="004D171C"/>
    <w:rsid w:val="005524C8"/>
    <w:rsid w:val="0057072F"/>
    <w:rsid w:val="005905EB"/>
    <w:rsid w:val="006F0ECD"/>
    <w:rsid w:val="006F4AF0"/>
    <w:rsid w:val="00705F10"/>
    <w:rsid w:val="007A7677"/>
    <w:rsid w:val="007C5F37"/>
    <w:rsid w:val="008D3A15"/>
    <w:rsid w:val="00952904"/>
    <w:rsid w:val="009A2E6C"/>
    <w:rsid w:val="009B02A2"/>
    <w:rsid w:val="00A219DB"/>
    <w:rsid w:val="00A7163F"/>
    <w:rsid w:val="00B931EB"/>
    <w:rsid w:val="00BB295A"/>
    <w:rsid w:val="00BF457D"/>
    <w:rsid w:val="00C174D5"/>
    <w:rsid w:val="00C40357"/>
    <w:rsid w:val="00C6538E"/>
    <w:rsid w:val="00C97030"/>
    <w:rsid w:val="00CC3302"/>
    <w:rsid w:val="00D774A1"/>
    <w:rsid w:val="00F129F3"/>
    <w:rsid w:val="00F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4A59"/>
  <w15:chartTrackingRefBased/>
  <w15:docId w15:val="{7C5FBED7-B8B6-4683-834A-CB3E701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302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3302"/>
    <w:pPr>
      <w:keepNext/>
      <w:ind w:left="357" w:hanging="357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3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33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C3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30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3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Rowiński Piotr</dc:creator>
  <cp:keywords/>
  <dc:description/>
  <cp:lastModifiedBy>Ficak Jan</cp:lastModifiedBy>
  <cp:revision>21</cp:revision>
  <dcterms:created xsi:type="dcterms:W3CDTF">2025-11-17T08:28:00Z</dcterms:created>
  <dcterms:modified xsi:type="dcterms:W3CDTF">2025-11-19T10:37:00Z</dcterms:modified>
</cp:coreProperties>
</file>