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5" w:rsidRPr="00927E68" w:rsidRDefault="007E6EE5" w:rsidP="007E6EE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b/>
          <w:sz w:val="21"/>
          <w:szCs w:val="21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</w:rPr>
        <w:t>2</w:t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</w:p>
    <w:p w:rsidR="007E6EE5" w:rsidRDefault="007E6EE5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AE2C50" w:rsidRDefault="00AE2C50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927E68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/2022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>.2022 r.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C65C75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927E68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927E68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49511B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49511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="00D05989">
        <w:rPr>
          <w:rFonts w:ascii="Tahoma" w:eastAsia="Times New Roman" w:hAnsi="Tahoma" w:cs="Tahoma"/>
          <w:b/>
          <w:bCs/>
          <w:color w:val="000000"/>
          <w:lang w:eastAsia="pl-PL"/>
        </w:rPr>
        <w:t>Dostaw</w:t>
      </w:r>
      <w:r w:rsidR="00D05989">
        <w:rPr>
          <w:rFonts w:ascii="Tahoma" w:eastAsia="Times New Roman" w:hAnsi="Tahoma" w:cs="Tahoma"/>
          <w:b/>
          <w:bCs/>
          <w:color w:val="000000"/>
          <w:lang w:eastAsia="pl-PL"/>
        </w:rPr>
        <w:t>a</w:t>
      </w:r>
      <w:bookmarkStart w:id="0" w:name="_GoBack"/>
      <w:bookmarkEnd w:id="0"/>
      <w:r w:rsidR="00D0598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sieciowych urządzeń końcowych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CA1D62" w:rsidRPr="00924BE6">
        <w:rPr>
          <w:rFonts w:ascii="Tahoma" w:hAnsi="Tahoma" w:cs="Tahoma"/>
        </w:rPr>
        <w:t>z</w:t>
      </w:r>
      <w:r w:rsidR="00CA1D62">
        <w:rPr>
          <w:rFonts w:ascii="Tahoma" w:hAnsi="Tahoma" w:cs="Tahoma"/>
        </w:rPr>
        <w:t xml:space="preserve">e złożonym przez </w:t>
      </w:r>
      <w:r w:rsidR="00B67650">
        <w:rPr>
          <w:rFonts w:ascii="Tahoma" w:hAnsi="Tahoma" w:cs="Tahoma"/>
        </w:rPr>
        <w:t>Wykonawcę</w:t>
      </w:r>
      <w:r w:rsidR="00CA1D62">
        <w:rPr>
          <w:rFonts w:ascii="Tahoma" w:hAnsi="Tahoma" w:cs="Tahoma"/>
        </w:rPr>
        <w:t xml:space="preserve"> Formularzem Ofertowym, określającym ukompletowanie, specyfikację i wymagania,</w:t>
      </w:r>
      <w:r w:rsidR="00CA1D62" w:rsidRPr="00924BE6">
        <w:rPr>
          <w:rFonts w:ascii="Tahoma" w:hAnsi="Tahoma" w:cs="Tahoma"/>
        </w:rPr>
        <w:t xml:space="preserve"> stanowiącym załącznik nr 1 do umowy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F63C8D">
        <w:rPr>
          <w:rFonts w:ascii="Tahoma" w:eastAsia="Times New Roman" w:hAnsi="Tahoma" w:cs="Tahoma"/>
          <w:b/>
          <w:sz w:val="21"/>
          <w:szCs w:val="21"/>
          <w:lang w:eastAsia="pl-PL"/>
        </w:rPr>
        <w:t>120</w:t>
      </w:r>
      <w:r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ndarzowych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01314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AE2C50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Zamawiający nie dopuszcza możliwości dostawy przedmiotu zamówienia w częściach. 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72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Dodatkowo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dostarczy dokument, potwierdzający wykupienie pakietów gwarancyjnych i licencyjnych.</w:t>
      </w:r>
    </w:p>
    <w:bookmarkEnd w:id="1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AE2C50" w:rsidRPr="00AE2C50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……………………………..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dostarczyć wraz z urządzeniami standardowe oprogramowanie systemowe, zwane dalej „oprogramowaniem”, szczegółowo opisane w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formularzu ofertowym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oraz Licencje na oprogramowanie, są wolne od jakichkolwiek wad prawnych i fizycznych.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że: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ma prawo dysponować Licencjami na oprogramowanie;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uprawnienia do przeniesienia na Zamawiającego własności oraz wszelkich praw do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Licencji na oprogramowanie, które zawiera umowa licencyjna producenta Licencji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z jednoczesnym świadczeniem usługi wsparcia dla Licencji;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niezbędne zasoby ludzkie, organizacyjne oraz finansowe niezbędne do należytego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wykonania Umowy. </w:t>
      </w:r>
    </w:p>
    <w:p w:rsidR="00927E68" w:rsidRPr="001D1DA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lastRenderedPageBreak/>
        <w:t>Wykonawca zobowiązuje się udzielić lub zapewnić udzielenie Zamawiającemu Licencji na oprogramowanie. Uprawnienia z Licencji na korzystanie z oprogramowania Zamawiający nabywa z chwilą jego odbioru.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oraz wymogami Producenta oferowanych urządzeń i Licencji na oprogramowanie.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2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2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AF4949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i Licencji na oprogramowanie oraz świadczenie gwarancji, serwisu i wsparcia.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E6193E">
        <w:rPr>
          <w:rFonts w:ascii="Tahoma" w:eastAsia="Times New Roman" w:hAnsi="Tahoma" w:cs="Tahoma"/>
          <w:sz w:val="21"/>
          <w:szCs w:val="21"/>
          <w:lang w:eastAsia="pl-PL"/>
        </w:rPr>
        <w:t>21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Pr="00143C7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36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i oprogramowanie spełniają wszystkie parametry określone przez Zamawiającego oraz pochodzą z legalnego kanału sprzedaży oraz są wolne od wad fizycznych i prawnych co zostanie potwierdzone stosownym oświadczeniem, złożonym najpóźniej w dniu dostawy.</w:t>
      </w:r>
    </w:p>
    <w:p w:rsidR="00F24837" w:rsidRPr="00927E68" w:rsidRDefault="00F24837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Wykonawca zobowiązuje się do przyjmowania zgłoszeń awarii/zgłoszeń serwisowych 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pod adre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sem poczty elektronicznej </w:t>
      </w:r>
      <w:r w:rsidR="00E6193E">
        <w:rPr>
          <w:rFonts w:ascii="Tahoma" w:eastAsia="Times New Roman" w:hAnsi="Tahoma" w:cs="Tahoma"/>
          <w:sz w:val="21"/>
          <w:szCs w:val="21"/>
          <w:lang w:eastAsia="pl-PL"/>
        </w:rPr>
        <w:t>…………..</w:t>
      </w:r>
      <w:r w:rsidR="002211A1"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/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tel. kontaktowy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="00E6193E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…………………………..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przez 7 dni w tygodniu i 24 godziny na dobę.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przypadku, gdy wadą będą obarczone urządzenia posiadające nośnik pamięci (dysk), nośnik ten zostanie wymontowany przed przekazaniem Wykonawcy wadliwego urządzenia, sprzętu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  <w:t>do naprawy.</w:t>
      </w:r>
    </w:p>
    <w:p w:rsidR="00927E68" w:rsidRPr="001729D0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Dostarczone nośniki informacji (m.in. dyski twarde, pamięci </w:t>
      </w:r>
      <w:proofErr w:type="spellStart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flash</w:t>
      </w:r>
      <w:proofErr w:type="spellEnd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) pozostają</w:t>
      </w:r>
      <w:r w:rsidR="0001314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własnością St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raży Granicznej</w:t>
      </w:r>
      <w:r w:rsidR="00AE2C5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 niedotrzymania 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terminów napraw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gwarancyjn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ych określonych w gwarancji producenta, związanych z naprawą uszkodzonego sprzętu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, Wykonawca zapłaci Zamawiającemu za każdy dzień zwłoki karę umowną w wysokości 1% wartości brutto uszkodzonego urządzenia.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3.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Zamawiający w związku z realizacją niniejszej Umowy będzie zobowiązany do zapłaty podatku VAT bezpośrednio do Urzędu Skarbowego, podstawę naliczenia kar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721635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8</w:t>
      </w:r>
      <w:r w:rsidR="00927E68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30724C" w:rsidRDefault="0030724C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AE2C50" w:rsidRDefault="00927E68" w:rsidP="00AE2C50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AE2C50" w:rsidRDefault="00927E68" w:rsidP="00AE2C50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F0AC1" w:rsidRPr="009F0AC1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9F0AC1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9F0AC1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Sect="00AE2C50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989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75DAC158"/>
    <w:lvl w:ilvl="0" w:tplc="C9AAFD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148"/>
    <w:rsid w:val="000A3DC1"/>
    <w:rsid w:val="000C0D5C"/>
    <w:rsid w:val="000D30B3"/>
    <w:rsid w:val="00102D24"/>
    <w:rsid w:val="001339B5"/>
    <w:rsid w:val="0014043D"/>
    <w:rsid w:val="00143C7E"/>
    <w:rsid w:val="001729D0"/>
    <w:rsid w:val="00176FD5"/>
    <w:rsid w:val="00186970"/>
    <w:rsid w:val="00187F7B"/>
    <w:rsid w:val="001D1DA3"/>
    <w:rsid w:val="001F5F95"/>
    <w:rsid w:val="00204121"/>
    <w:rsid w:val="00221008"/>
    <w:rsid w:val="002211A1"/>
    <w:rsid w:val="0027399B"/>
    <w:rsid w:val="002865B9"/>
    <w:rsid w:val="002E4A9A"/>
    <w:rsid w:val="0030724C"/>
    <w:rsid w:val="00345A00"/>
    <w:rsid w:val="0037209A"/>
    <w:rsid w:val="003B7780"/>
    <w:rsid w:val="003C65BB"/>
    <w:rsid w:val="004340E6"/>
    <w:rsid w:val="004424A8"/>
    <w:rsid w:val="0049511B"/>
    <w:rsid w:val="004953A0"/>
    <w:rsid w:val="004B10AE"/>
    <w:rsid w:val="004C0037"/>
    <w:rsid w:val="004F4632"/>
    <w:rsid w:val="0050157B"/>
    <w:rsid w:val="005356A5"/>
    <w:rsid w:val="005E55D2"/>
    <w:rsid w:val="005F1B34"/>
    <w:rsid w:val="00632187"/>
    <w:rsid w:val="00647293"/>
    <w:rsid w:val="006D1165"/>
    <w:rsid w:val="006D240C"/>
    <w:rsid w:val="006F06BA"/>
    <w:rsid w:val="0070243C"/>
    <w:rsid w:val="00721635"/>
    <w:rsid w:val="00780106"/>
    <w:rsid w:val="007E6EE5"/>
    <w:rsid w:val="00816CF5"/>
    <w:rsid w:val="00841E7E"/>
    <w:rsid w:val="00861326"/>
    <w:rsid w:val="008A637C"/>
    <w:rsid w:val="008B24BB"/>
    <w:rsid w:val="008F5857"/>
    <w:rsid w:val="00927E68"/>
    <w:rsid w:val="009D14B4"/>
    <w:rsid w:val="009F0AC1"/>
    <w:rsid w:val="00AC6CB4"/>
    <w:rsid w:val="00AE2C50"/>
    <w:rsid w:val="00AF4949"/>
    <w:rsid w:val="00B1097F"/>
    <w:rsid w:val="00B35476"/>
    <w:rsid w:val="00B40734"/>
    <w:rsid w:val="00B52CEB"/>
    <w:rsid w:val="00B67650"/>
    <w:rsid w:val="00BD3777"/>
    <w:rsid w:val="00BE0876"/>
    <w:rsid w:val="00BF70EC"/>
    <w:rsid w:val="00C65C75"/>
    <w:rsid w:val="00CA1D62"/>
    <w:rsid w:val="00CE5CEB"/>
    <w:rsid w:val="00D05989"/>
    <w:rsid w:val="00D3333D"/>
    <w:rsid w:val="00D74E30"/>
    <w:rsid w:val="00D8510E"/>
    <w:rsid w:val="00DC3BEF"/>
    <w:rsid w:val="00E111F4"/>
    <w:rsid w:val="00E42880"/>
    <w:rsid w:val="00E51708"/>
    <w:rsid w:val="00E551EF"/>
    <w:rsid w:val="00E6193E"/>
    <w:rsid w:val="00F24837"/>
    <w:rsid w:val="00F62002"/>
    <w:rsid w:val="00F63C8D"/>
    <w:rsid w:val="00F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E2D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2724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12</cp:revision>
  <dcterms:created xsi:type="dcterms:W3CDTF">2022-06-10T07:48:00Z</dcterms:created>
  <dcterms:modified xsi:type="dcterms:W3CDTF">2022-06-23T13:10:00Z</dcterms:modified>
</cp:coreProperties>
</file>