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4" w:type="dxa"/>
        <w:jc w:val="center"/>
        <w:tblLayout w:type="fixed"/>
        <w:tblLook w:val="00A0" w:firstRow="1" w:lastRow="0" w:firstColumn="1" w:lastColumn="0" w:noHBand="0" w:noVBand="0"/>
      </w:tblPr>
      <w:tblGrid>
        <w:gridCol w:w="2694"/>
        <w:gridCol w:w="2409"/>
        <w:gridCol w:w="2502"/>
        <w:gridCol w:w="1499"/>
      </w:tblGrid>
      <w:tr w:rsidR="00AE494A" w:rsidRPr="00C86E30" w:rsidTr="006B28DD">
        <w:trPr>
          <w:trHeight w:val="426"/>
          <w:jc w:val="center"/>
        </w:trPr>
        <w:tc>
          <w:tcPr>
            <w:tcW w:w="2694" w:type="dxa"/>
            <w:vAlign w:val="center"/>
          </w:tcPr>
          <w:p w:rsidR="00AE494A" w:rsidRPr="00C86E30" w:rsidRDefault="00AE494A" w:rsidP="006B28DD">
            <w:pPr>
              <w:suppressAutoHyphens/>
              <w:ind w:left="-113"/>
              <w:jc w:val="center"/>
              <w:rPr>
                <w:rFonts w:ascii="Tahoma" w:hAnsi="Tahoma" w:cs="Tahoma"/>
                <w:b/>
                <w:sz w:val="18"/>
                <w:szCs w:val="16"/>
                <w:lang w:eastAsia="ar-SA"/>
              </w:rPr>
            </w:pPr>
            <w:r>
              <w:rPr>
                <w:rFonts w:ascii="Tahoma" w:hAnsi="Tahoma" w:cs="Tahoma"/>
                <w:b/>
                <w:sz w:val="18"/>
                <w:szCs w:val="16"/>
                <w:lang w:eastAsia="ar-SA"/>
              </w:rPr>
              <w:t>B</w:t>
            </w:r>
            <w:r w:rsidRPr="00C86E30">
              <w:rPr>
                <w:rFonts w:ascii="Tahoma" w:hAnsi="Tahoma" w:cs="Tahoma"/>
                <w:b/>
                <w:sz w:val="18"/>
                <w:szCs w:val="16"/>
                <w:lang w:eastAsia="ar-SA"/>
              </w:rPr>
              <w:t xml:space="preserve">IESZCZADZKI ODDZIAŁ </w:t>
            </w:r>
          </w:p>
          <w:p w:rsidR="00AE494A" w:rsidRPr="00C86E30" w:rsidRDefault="00AE494A" w:rsidP="006B28DD">
            <w:pPr>
              <w:suppressAutoHyphens/>
              <w:ind w:left="-113"/>
              <w:jc w:val="center"/>
              <w:rPr>
                <w:rFonts w:ascii="Tahoma" w:hAnsi="Tahoma" w:cs="Tahoma"/>
                <w:b/>
                <w:sz w:val="18"/>
                <w:szCs w:val="16"/>
                <w:lang w:eastAsia="ar-SA"/>
              </w:rPr>
            </w:pPr>
            <w:r w:rsidRPr="00C86E30">
              <w:rPr>
                <w:rFonts w:ascii="Tahoma" w:hAnsi="Tahoma" w:cs="Tahoma"/>
                <w:b/>
                <w:sz w:val="18"/>
                <w:szCs w:val="16"/>
                <w:lang w:eastAsia="ar-SA"/>
              </w:rPr>
              <w:t>STRAŻY GRANICZNEJ</w:t>
            </w:r>
          </w:p>
          <w:p w:rsidR="00AE494A" w:rsidRPr="00C86E30" w:rsidRDefault="00AE494A" w:rsidP="006B28DD">
            <w:pPr>
              <w:suppressAutoHyphens/>
              <w:ind w:left="-107" w:right="-108"/>
              <w:jc w:val="center"/>
              <w:rPr>
                <w:rFonts w:ascii="Tahoma" w:hAnsi="Tahoma" w:cs="Tahoma"/>
                <w:i/>
                <w:sz w:val="14"/>
                <w:szCs w:val="16"/>
                <w:lang w:eastAsia="ar-SA"/>
              </w:rPr>
            </w:pPr>
            <w:r w:rsidRPr="00C86E30">
              <w:rPr>
                <w:rFonts w:ascii="Tahoma" w:hAnsi="Tahoma" w:cs="Tahoma"/>
                <w:i/>
                <w:sz w:val="12"/>
                <w:szCs w:val="16"/>
                <w:lang w:eastAsia="ar-SA"/>
              </w:rPr>
              <w:t>im. gen. bryg. Jana Tomasza Gorzechowskiego</w:t>
            </w:r>
          </w:p>
        </w:tc>
        <w:tc>
          <w:tcPr>
            <w:tcW w:w="2409" w:type="dxa"/>
            <w:vAlign w:val="center"/>
          </w:tcPr>
          <w:p w:rsidR="00AE494A" w:rsidRPr="00C86E30" w:rsidRDefault="00AE494A" w:rsidP="006B28DD">
            <w:pPr>
              <w:suppressAutoHyphens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C86E30">
              <w:rPr>
                <w:rFonts w:ascii="Tahoma" w:hAnsi="Tahoma" w:cs="Tahoma"/>
                <w:noProof/>
                <w:sz w:val="21"/>
                <w:szCs w:val="21"/>
              </w:rPr>
              <w:drawing>
                <wp:inline distT="0" distB="0" distL="0" distR="0" wp14:anchorId="25B8ACB7" wp14:editId="38C6B189">
                  <wp:extent cx="1396800" cy="720000"/>
                  <wp:effectExtent l="0" t="0" r="0" b="4445"/>
                  <wp:docPr id="44" name="Obraz 44" descr="C:\Users\005724\AppData\Local\Microsoft\Windows\INetCache\Content.Outlook\TTS20EGM\full_RGB-transparenc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05724\AppData\Local\Microsoft\Windows\INetCache\Content.Outlook\TTS20EGM\full_RGB-transparenc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8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2" w:type="dxa"/>
            <w:vAlign w:val="center"/>
          </w:tcPr>
          <w:p w:rsidR="00AE494A" w:rsidRPr="00C86E30" w:rsidRDefault="00AE494A" w:rsidP="006B28DD">
            <w:pPr>
              <w:suppressAutoHyphens/>
              <w:ind w:left="118"/>
              <w:rPr>
                <w:rFonts w:ascii="Tahoma" w:hAnsi="Tahoma" w:cs="Tahoma"/>
                <w:b/>
                <w:sz w:val="18"/>
                <w:szCs w:val="16"/>
                <w:lang w:eastAsia="ar-SA"/>
              </w:rPr>
            </w:pPr>
          </w:p>
          <w:p w:rsidR="00AE494A" w:rsidRPr="00C86E30" w:rsidRDefault="00AE494A" w:rsidP="006B28DD">
            <w:pPr>
              <w:suppressAutoHyphens/>
              <w:ind w:left="118"/>
              <w:rPr>
                <w:rFonts w:ascii="Tahoma" w:hAnsi="Tahoma" w:cs="Tahoma"/>
                <w:b/>
                <w:sz w:val="18"/>
                <w:szCs w:val="16"/>
                <w:lang w:eastAsia="ar-SA"/>
              </w:rPr>
            </w:pPr>
            <w:r w:rsidRPr="00C86E30">
              <w:rPr>
                <w:rFonts w:ascii="Tahoma" w:hAnsi="Tahoma" w:cs="Tahoma"/>
                <w:b/>
                <w:sz w:val="18"/>
                <w:szCs w:val="16"/>
                <w:lang w:eastAsia="ar-SA"/>
              </w:rPr>
              <w:t>UNIA EUROPEJSKA</w:t>
            </w:r>
          </w:p>
          <w:p w:rsidR="00AE494A" w:rsidRPr="00F07433" w:rsidRDefault="00AE494A" w:rsidP="006B28DD">
            <w:pPr>
              <w:suppressAutoHyphens/>
              <w:ind w:left="118"/>
              <w:rPr>
                <w:rFonts w:ascii="Tahoma" w:hAnsi="Tahoma" w:cs="Tahoma"/>
                <w:iCs/>
                <w:sz w:val="16"/>
                <w:szCs w:val="16"/>
                <w:lang w:eastAsia="ar-SA"/>
              </w:rPr>
            </w:pPr>
            <w:r w:rsidRPr="00C86E30">
              <w:rPr>
                <w:rFonts w:ascii="Tahoma" w:hAnsi="Tahoma" w:cs="Tahoma"/>
                <w:iCs/>
                <w:sz w:val="16"/>
                <w:szCs w:val="16"/>
                <w:lang w:eastAsia="ar-SA"/>
              </w:rPr>
              <w:t xml:space="preserve">FUNDUSZ </w:t>
            </w:r>
            <w:r>
              <w:rPr>
                <w:rFonts w:ascii="Tahoma" w:hAnsi="Tahoma" w:cs="Tahoma"/>
                <w:iCs/>
                <w:sz w:val="16"/>
                <w:szCs w:val="16"/>
                <w:lang w:eastAsia="ar-SA"/>
              </w:rPr>
              <w:t>BEZPIECZEŃSTWA WEWNĘTRZNEGO</w:t>
            </w:r>
          </w:p>
          <w:p w:rsidR="00AE494A" w:rsidRPr="00C86E30" w:rsidRDefault="00AE494A" w:rsidP="006B28DD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</w:p>
        </w:tc>
        <w:tc>
          <w:tcPr>
            <w:tcW w:w="1499" w:type="dxa"/>
            <w:vAlign w:val="center"/>
          </w:tcPr>
          <w:p w:rsidR="00AE494A" w:rsidRPr="00C86E30" w:rsidRDefault="00AE494A" w:rsidP="006B28DD">
            <w:pPr>
              <w:suppressAutoHyphens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C86E30">
              <w:rPr>
                <w:noProof/>
                <w:sz w:val="22"/>
                <w:szCs w:val="22"/>
              </w:rPr>
              <w:drawing>
                <wp:inline distT="0" distB="0" distL="0" distR="0" wp14:anchorId="3995B26E" wp14:editId="3EEB01C0">
                  <wp:extent cx="848360" cy="570865"/>
                  <wp:effectExtent l="0" t="0" r="8890" b="635"/>
                  <wp:docPr id="45" name="Obraz 45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494A" w:rsidRPr="001928F4" w:rsidRDefault="00AE494A" w:rsidP="00AE494A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Załącznik nr 1</w:t>
      </w:r>
      <w:r w:rsidRPr="001928F4">
        <w:rPr>
          <w:rFonts w:ascii="Tahoma" w:hAnsi="Tahoma" w:cs="Tahoma"/>
          <w:b/>
          <w:sz w:val="21"/>
          <w:szCs w:val="21"/>
        </w:rPr>
        <w:t xml:space="preserve"> </w:t>
      </w:r>
    </w:p>
    <w:p w:rsidR="00AE494A" w:rsidRPr="001928F4" w:rsidRDefault="00AE494A" w:rsidP="00AE494A">
      <w:pPr>
        <w:autoSpaceDE w:val="0"/>
        <w:autoSpaceDN w:val="0"/>
        <w:adjustRightInd w:val="0"/>
        <w:jc w:val="right"/>
        <w:rPr>
          <w:rFonts w:ascii="Tahoma" w:hAnsi="Tahoma" w:cs="Tahoma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AE494A" w:rsidTr="006B28DD">
        <w:trPr>
          <w:trHeight w:val="340"/>
        </w:trPr>
        <w:tc>
          <w:tcPr>
            <w:tcW w:w="9202" w:type="dxa"/>
            <w:shd w:val="clear" w:color="auto" w:fill="D9D9D9" w:themeFill="background1" w:themeFillShade="D9"/>
            <w:vAlign w:val="center"/>
          </w:tcPr>
          <w:p w:rsidR="00AE494A" w:rsidRDefault="00AE494A" w:rsidP="006B28DD">
            <w:pPr>
              <w:jc w:val="center"/>
              <w:rPr>
                <w:rFonts w:ascii="Tahoma" w:hAnsi="Tahoma" w:cs="Tahoma"/>
                <w:b/>
                <w:sz w:val="24"/>
                <w:szCs w:val="21"/>
              </w:rPr>
            </w:pPr>
            <w:r>
              <w:rPr>
                <w:rFonts w:ascii="Tahoma" w:hAnsi="Tahoma" w:cs="Tahoma"/>
                <w:b/>
                <w:sz w:val="24"/>
                <w:szCs w:val="21"/>
              </w:rPr>
              <w:t>OPIS PRZEDMIOTU ZAMÓWIENIA</w:t>
            </w:r>
          </w:p>
          <w:p w:rsidR="00AE494A" w:rsidRPr="00B62CDA" w:rsidRDefault="00AE494A" w:rsidP="006B28DD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Cs w:val="21"/>
              </w:rPr>
              <w:t>Dostawa telefonów IP wraz z oprogramowaniem</w:t>
            </w:r>
          </w:p>
        </w:tc>
      </w:tr>
    </w:tbl>
    <w:p w:rsidR="00AE494A" w:rsidRPr="004F40AA" w:rsidRDefault="00AE494A" w:rsidP="00AE494A">
      <w:pPr>
        <w:numPr>
          <w:ilvl w:val="0"/>
          <w:numId w:val="1"/>
        </w:numPr>
        <w:spacing w:after="160" w:line="276" w:lineRule="auto"/>
        <w:rPr>
          <w:rFonts w:ascii="Tahoma" w:eastAsiaTheme="minorHAnsi" w:hAnsi="Tahoma" w:cs="Tahoma"/>
          <w:b/>
          <w:bCs/>
          <w:sz w:val="28"/>
          <w:szCs w:val="21"/>
          <w:lang w:eastAsia="en-US"/>
        </w:rPr>
      </w:pPr>
      <w:bookmarkStart w:id="0" w:name="bookmark23"/>
      <w:r>
        <w:rPr>
          <w:rFonts w:ascii="Tahoma" w:eastAsiaTheme="minorHAnsi" w:hAnsi="Tahoma" w:cs="Tahoma"/>
          <w:b/>
          <w:bCs/>
          <w:sz w:val="28"/>
          <w:szCs w:val="21"/>
          <w:lang w:eastAsia="en-US"/>
        </w:rPr>
        <w:t>W</w:t>
      </w:r>
      <w:r w:rsidRPr="004F40AA">
        <w:rPr>
          <w:rFonts w:ascii="Tahoma" w:eastAsiaTheme="minorHAnsi" w:hAnsi="Tahoma" w:cs="Tahoma"/>
          <w:b/>
          <w:bCs/>
          <w:sz w:val="28"/>
          <w:szCs w:val="21"/>
          <w:lang w:eastAsia="en-US"/>
        </w:rPr>
        <w:t>stęp</w:t>
      </w:r>
      <w:bookmarkEnd w:id="0"/>
    </w:p>
    <w:p w:rsidR="00AE494A" w:rsidRPr="00B62CDA" w:rsidRDefault="00AE494A" w:rsidP="00AE494A">
      <w:pPr>
        <w:spacing w:after="160"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/>
        </w:rPr>
      </w:pPr>
      <w:r w:rsidRPr="00B62CDA">
        <w:rPr>
          <w:rFonts w:ascii="Tahoma" w:eastAsiaTheme="minorHAnsi" w:hAnsi="Tahoma" w:cs="Tahoma"/>
          <w:bCs/>
          <w:sz w:val="21"/>
          <w:szCs w:val="21"/>
          <w:lang w:eastAsia="en-US"/>
        </w:rPr>
        <w:t xml:space="preserve">Straż Graniczna działająca na podstawie Ustawy o Straży Granicznej wykorzystuje w codziennej służbie systemy teleinformatyczne do kontroli ruchu granicznego oraz w celu ochrony granicy państwowej. Do tego celu wykorzystuje szereg systemów teleinformatycznych zbudowanych </w:t>
      </w:r>
      <w:r>
        <w:rPr>
          <w:rFonts w:ascii="Tahoma" w:eastAsiaTheme="minorHAnsi" w:hAnsi="Tahoma" w:cs="Tahoma"/>
          <w:bCs/>
          <w:sz w:val="21"/>
          <w:szCs w:val="21"/>
          <w:lang w:eastAsia="en-US"/>
        </w:rPr>
        <w:br/>
      </w:r>
      <w:r w:rsidRPr="00B62CDA">
        <w:rPr>
          <w:rFonts w:ascii="Tahoma" w:eastAsiaTheme="minorHAnsi" w:hAnsi="Tahoma" w:cs="Tahoma"/>
          <w:bCs/>
          <w:sz w:val="21"/>
          <w:szCs w:val="21"/>
          <w:lang w:eastAsia="en-US"/>
        </w:rPr>
        <w:t>z wykorzystaniem nowoczesnych technologii.</w:t>
      </w:r>
    </w:p>
    <w:p w:rsidR="00AE494A" w:rsidRPr="00B62CDA" w:rsidRDefault="00AE494A" w:rsidP="00AE494A">
      <w:pPr>
        <w:spacing w:after="160"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/>
        </w:rPr>
      </w:pPr>
      <w:r w:rsidRPr="00B62CDA">
        <w:rPr>
          <w:rFonts w:ascii="Tahoma" w:eastAsiaTheme="minorHAnsi" w:hAnsi="Tahoma" w:cs="Tahoma"/>
          <w:bCs/>
          <w:sz w:val="21"/>
          <w:szCs w:val="21"/>
          <w:lang w:eastAsia="en-US"/>
        </w:rPr>
        <w:t xml:space="preserve">Straż Graniczna wykorzystuje sieć teleinformatyczną w większości zbudowaną w oparciu </w:t>
      </w:r>
      <w:r w:rsidR="00AB1641">
        <w:rPr>
          <w:rFonts w:ascii="Tahoma" w:eastAsiaTheme="minorHAnsi" w:hAnsi="Tahoma" w:cs="Tahoma"/>
          <w:bCs/>
          <w:sz w:val="21"/>
          <w:szCs w:val="21"/>
          <w:lang w:eastAsia="en-US"/>
        </w:rPr>
        <w:br/>
      </w:r>
      <w:r w:rsidRPr="00B62CDA">
        <w:rPr>
          <w:rFonts w:ascii="Tahoma" w:eastAsiaTheme="minorHAnsi" w:hAnsi="Tahoma" w:cs="Tahoma"/>
          <w:bCs/>
          <w:sz w:val="21"/>
          <w:szCs w:val="21"/>
          <w:lang w:eastAsia="en-US"/>
        </w:rPr>
        <w:t>o platformę sprzętową firmy Cisco Systems, Hewlett-Packard, IBM. Zastosowane urządzenia umożliwiają przenoszenie wszelkiego rodzaju usług typu dane, głos i wideo w oparciu o protokół IP.</w:t>
      </w:r>
    </w:p>
    <w:p w:rsidR="00AE494A" w:rsidRPr="00B62CDA" w:rsidRDefault="00AE494A" w:rsidP="00AE494A">
      <w:pPr>
        <w:spacing w:after="160"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/>
        </w:rPr>
      </w:pPr>
      <w:r w:rsidRPr="00B62CDA">
        <w:rPr>
          <w:rFonts w:ascii="Tahoma" w:eastAsiaTheme="minorHAnsi" w:hAnsi="Tahoma" w:cs="Tahoma"/>
          <w:bCs/>
          <w:sz w:val="21"/>
          <w:szCs w:val="21"/>
          <w:lang w:eastAsia="en-US"/>
        </w:rPr>
        <w:t>Wszystkie jednostki Straży Granicznej m.in. Komenda Główna SG, Bieszczadzki Odział SG oraz inne placówki połączone są hierarchicznie siecią WAN. Głównym punktem systemu jest Centralny Węzeł Teleinformatyczny zlokalizowany w Warszawie, w którym koncentruje się cały ruch z WAN. Znajdują się w nim punkty styków z innymi sieciami, Centrum Przetwarzania Danych, Centralny Węzeł Głosowy oraz Centrum Zarządzania Siecią Teleinformatyczną.</w:t>
      </w:r>
    </w:p>
    <w:p w:rsidR="00AE494A" w:rsidRPr="00B62CDA" w:rsidRDefault="00AE494A" w:rsidP="00AE494A">
      <w:pPr>
        <w:spacing w:after="160"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/>
        </w:rPr>
      </w:pPr>
      <w:r w:rsidRPr="00B62CDA">
        <w:rPr>
          <w:rFonts w:ascii="Tahoma" w:eastAsiaTheme="minorHAnsi" w:hAnsi="Tahoma" w:cs="Tahoma"/>
          <w:bCs/>
          <w:sz w:val="21"/>
          <w:szCs w:val="21"/>
          <w:lang w:eastAsia="en-US"/>
        </w:rPr>
        <w:t xml:space="preserve">Infrastruktura techniczna platformy teleinformatycznej SG obejmuje routery Cisco serii 2800, 2900, 3800, 3900, 7200, 7600 przełączniki </w:t>
      </w:r>
      <w:proofErr w:type="spellStart"/>
      <w:r w:rsidRPr="00B62CDA">
        <w:rPr>
          <w:rFonts w:ascii="Tahoma" w:eastAsiaTheme="minorHAnsi" w:hAnsi="Tahoma" w:cs="Tahoma"/>
          <w:bCs/>
          <w:sz w:val="21"/>
          <w:szCs w:val="21"/>
          <w:lang w:eastAsia="en-US"/>
        </w:rPr>
        <w:t>Catalyst</w:t>
      </w:r>
      <w:proofErr w:type="spellEnd"/>
      <w:r w:rsidRPr="00B62CDA">
        <w:rPr>
          <w:rFonts w:ascii="Tahoma" w:eastAsiaTheme="minorHAnsi" w:hAnsi="Tahoma" w:cs="Tahoma"/>
          <w:bCs/>
          <w:sz w:val="21"/>
          <w:szCs w:val="21"/>
          <w:lang w:eastAsia="en-US"/>
        </w:rPr>
        <w:t xml:space="preserve"> serii 6500, 4500, 3750, NX7K, mostki wideokonferencyjne Cisco </w:t>
      </w:r>
      <w:proofErr w:type="spellStart"/>
      <w:r w:rsidRPr="00B62CDA">
        <w:rPr>
          <w:rFonts w:ascii="Tahoma" w:eastAsiaTheme="minorHAnsi" w:hAnsi="Tahoma" w:cs="Tahoma"/>
          <w:bCs/>
          <w:sz w:val="21"/>
          <w:szCs w:val="21"/>
          <w:lang w:eastAsia="en-US"/>
        </w:rPr>
        <w:t>Telepresence</w:t>
      </w:r>
      <w:proofErr w:type="spellEnd"/>
      <w:r w:rsidRPr="00B62CDA">
        <w:rPr>
          <w:rFonts w:ascii="Tahoma" w:eastAsiaTheme="minorHAnsi" w:hAnsi="Tahoma" w:cs="Tahoma"/>
          <w:bCs/>
          <w:sz w:val="21"/>
          <w:szCs w:val="21"/>
          <w:lang w:eastAsia="en-US"/>
        </w:rPr>
        <w:t xml:space="preserve">, urządzenia do bezpieczeństwa Asa, Firewall, Iron Port, IPS, IDS, serwery CUCM, CUPS,CWMS zainstalowane na środowisku </w:t>
      </w:r>
      <w:proofErr w:type="spellStart"/>
      <w:r w:rsidRPr="00B62CDA">
        <w:rPr>
          <w:rFonts w:ascii="Tahoma" w:eastAsiaTheme="minorHAnsi" w:hAnsi="Tahoma" w:cs="Tahoma"/>
          <w:bCs/>
          <w:sz w:val="21"/>
          <w:szCs w:val="21"/>
          <w:lang w:eastAsia="en-US"/>
        </w:rPr>
        <w:t>VMware</w:t>
      </w:r>
      <w:proofErr w:type="spellEnd"/>
      <w:r w:rsidRPr="00B62CDA">
        <w:rPr>
          <w:rFonts w:ascii="Tahoma" w:eastAsiaTheme="minorHAnsi" w:hAnsi="Tahoma" w:cs="Tahoma"/>
          <w:bCs/>
          <w:sz w:val="21"/>
          <w:szCs w:val="21"/>
          <w:lang w:eastAsia="en-US"/>
        </w:rPr>
        <w:t xml:space="preserve"> wersja 5.X System telefonii IP obsługuje ponad 12 tys. telefonów IP oraz około 2000 analogowy numerów, zainstalowany jest na serwerach  </w:t>
      </w: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Cisco </w:t>
      </w:r>
      <w:proofErr w:type="spellStart"/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Unified</w:t>
      </w:r>
      <w:proofErr w:type="spellEnd"/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 Communications Manager </w:t>
      </w:r>
      <w:r w:rsidRPr="00B62CDA">
        <w:rPr>
          <w:rFonts w:ascii="Tahoma" w:eastAsiaTheme="minorHAnsi" w:hAnsi="Tahoma" w:cs="Tahoma"/>
          <w:bCs/>
          <w:sz w:val="21"/>
          <w:szCs w:val="21"/>
          <w:lang w:eastAsia="en-US"/>
        </w:rPr>
        <w:t>w wersji 12.5.1.</w:t>
      </w:r>
    </w:p>
    <w:p w:rsidR="00AE494A" w:rsidRDefault="00AE494A" w:rsidP="00AE494A">
      <w:pPr>
        <w:spacing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Intencją Zamawiającego jest zakup terminali końcowych do posiadanego systemu telefonii </w:t>
      </w:r>
      <w:r w:rsidRPr="00B62CDA">
        <w:rPr>
          <w:rFonts w:ascii="Tahoma" w:eastAsiaTheme="minorHAnsi" w:hAnsi="Tahoma" w:cs="Tahoma"/>
          <w:bCs/>
          <w:sz w:val="21"/>
          <w:szCs w:val="21"/>
          <w:lang w:eastAsia="en-US"/>
        </w:rPr>
        <w:t xml:space="preserve">IP </w:t>
      </w: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uwzględniających oraz w pełni kompatybilnych z posiadanym przez Zamawiającego środowisku sieciowym.</w:t>
      </w:r>
    </w:p>
    <w:p w:rsidR="00AE494A" w:rsidRPr="00F227BB" w:rsidRDefault="00AE494A" w:rsidP="00AE494A">
      <w:pPr>
        <w:spacing w:line="276" w:lineRule="auto"/>
        <w:jc w:val="both"/>
        <w:rPr>
          <w:rFonts w:ascii="Tahoma" w:eastAsiaTheme="minorHAnsi" w:hAnsi="Tahoma" w:cs="Tahoma"/>
          <w:bCs/>
          <w:sz w:val="24"/>
          <w:szCs w:val="21"/>
          <w:lang w:eastAsia="en-US" w:bidi="pl-PL"/>
        </w:rPr>
      </w:pPr>
    </w:p>
    <w:p w:rsidR="00AE494A" w:rsidRPr="004F40AA" w:rsidRDefault="00AE494A" w:rsidP="00AE494A">
      <w:pPr>
        <w:numPr>
          <w:ilvl w:val="0"/>
          <w:numId w:val="1"/>
        </w:numPr>
        <w:spacing w:line="276" w:lineRule="auto"/>
        <w:jc w:val="both"/>
        <w:rPr>
          <w:rFonts w:ascii="Tahoma" w:eastAsiaTheme="minorHAnsi" w:hAnsi="Tahoma" w:cs="Tahoma"/>
          <w:b/>
          <w:bCs/>
          <w:sz w:val="28"/>
          <w:szCs w:val="21"/>
          <w:lang w:eastAsia="en-US"/>
        </w:rPr>
      </w:pPr>
      <w:bookmarkStart w:id="1" w:name="bookmark24"/>
      <w:r w:rsidRPr="004F40AA">
        <w:rPr>
          <w:rFonts w:ascii="Tahoma" w:eastAsiaTheme="minorHAnsi" w:hAnsi="Tahoma" w:cs="Tahoma"/>
          <w:b/>
          <w:bCs/>
          <w:sz w:val="28"/>
          <w:szCs w:val="21"/>
          <w:lang w:eastAsia="en-US"/>
        </w:rPr>
        <w:t>Przedmiot zamówienia</w:t>
      </w:r>
      <w:bookmarkEnd w:id="1"/>
    </w:p>
    <w:p w:rsidR="00AE494A" w:rsidRPr="00B62CDA" w:rsidRDefault="00AE494A" w:rsidP="00AE494A">
      <w:pPr>
        <w:spacing w:after="160"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/>
        </w:rPr>
      </w:pPr>
      <w:r w:rsidRPr="00B62CDA">
        <w:rPr>
          <w:rFonts w:ascii="Tahoma" w:eastAsiaTheme="minorHAnsi" w:hAnsi="Tahoma" w:cs="Tahoma"/>
          <w:bCs/>
          <w:sz w:val="21"/>
          <w:szCs w:val="21"/>
          <w:lang w:eastAsia="en-US"/>
        </w:rPr>
        <w:t>Przedmiotem zamówienia jest dostawa telefonów IP zgodnych z posiadanym przez Zamawiającego systemem telekomunikacyjnym opisanych szczegółowo w dalszej części OPZ w ilościach:</w:t>
      </w:r>
    </w:p>
    <w:p w:rsidR="00AE494A" w:rsidRPr="004F40AA" w:rsidRDefault="00AE494A" w:rsidP="00AE494A">
      <w:pPr>
        <w:pStyle w:val="Akapitzlist"/>
        <w:numPr>
          <w:ilvl w:val="0"/>
          <w:numId w:val="2"/>
        </w:numPr>
        <w:spacing w:after="160" w:line="276" w:lineRule="auto"/>
        <w:ind w:left="426"/>
        <w:jc w:val="both"/>
        <w:rPr>
          <w:rFonts w:ascii="Tahoma" w:eastAsiaTheme="minorHAnsi" w:hAnsi="Tahoma" w:cs="Tahoma"/>
          <w:b/>
          <w:bCs/>
          <w:sz w:val="21"/>
          <w:szCs w:val="21"/>
          <w:lang w:eastAsia="en-US"/>
        </w:rPr>
      </w:pPr>
      <w:r w:rsidRPr="004F40AA">
        <w:rPr>
          <w:rFonts w:ascii="Tahoma" w:eastAsiaTheme="minorHAnsi" w:hAnsi="Tahoma" w:cs="Tahoma"/>
          <w:b/>
          <w:bCs/>
          <w:sz w:val="21"/>
          <w:szCs w:val="21"/>
          <w:lang w:eastAsia="en-US"/>
        </w:rPr>
        <w:t xml:space="preserve">Telefon </w:t>
      </w:r>
      <w:r w:rsidRPr="004F40AA">
        <w:rPr>
          <w:rFonts w:ascii="Tahoma" w:eastAsiaTheme="minorHAnsi" w:hAnsi="Tahoma" w:cs="Tahoma"/>
          <w:b/>
          <w:bCs/>
          <w:sz w:val="21"/>
          <w:szCs w:val="21"/>
          <w:lang w:eastAsia="en-US" w:bidi="en-US"/>
        </w:rPr>
        <w:t xml:space="preserve">IP </w:t>
      </w:r>
      <w:r w:rsidRPr="004F40AA">
        <w:rPr>
          <w:rFonts w:ascii="Tahoma" w:eastAsiaTheme="minorHAnsi" w:hAnsi="Tahoma" w:cs="Tahoma"/>
          <w:b/>
          <w:bCs/>
          <w:sz w:val="21"/>
          <w:szCs w:val="21"/>
          <w:lang w:eastAsia="en-US"/>
        </w:rPr>
        <w:t xml:space="preserve">typ 1 - 27 </w:t>
      </w:r>
      <w:proofErr w:type="spellStart"/>
      <w:r w:rsidRPr="004F40AA">
        <w:rPr>
          <w:rFonts w:ascii="Tahoma" w:eastAsiaTheme="minorHAnsi" w:hAnsi="Tahoma" w:cs="Tahoma"/>
          <w:b/>
          <w:bCs/>
          <w:sz w:val="21"/>
          <w:szCs w:val="21"/>
          <w:lang w:eastAsia="en-US"/>
        </w:rPr>
        <w:t>kpl</w:t>
      </w:r>
      <w:proofErr w:type="spellEnd"/>
      <w:r w:rsidRPr="004F40AA">
        <w:rPr>
          <w:rFonts w:ascii="Tahoma" w:eastAsiaTheme="minorHAnsi" w:hAnsi="Tahoma" w:cs="Tahoma"/>
          <w:b/>
          <w:bCs/>
          <w:sz w:val="21"/>
          <w:szCs w:val="21"/>
          <w:lang w:eastAsia="en-US"/>
        </w:rPr>
        <w:t>.</w:t>
      </w:r>
    </w:p>
    <w:p w:rsidR="00AE494A" w:rsidRDefault="00AE494A" w:rsidP="00AE494A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ahoma" w:eastAsiaTheme="minorHAnsi" w:hAnsi="Tahoma" w:cs="Tahoma"/>
          <w:b/>
          <w:bCs/>
          <w:sz w:val="21"/>
          <w:szCs w:val="21"/>
          <w:lang w:eastAsia="en-US"/>
        </w:rPr>
      </w:pPr>
      <w:r w:rsidRPr="004F40AA">
        <w:rPr>
          <w:rFonts w:ascii="Tahoma" w:eastAsiaTheme="minorHAnsi" w:hAnsi="Tahoma" w:cs="Tahoma"/>
          <w:b/>
          <w:bCs/>
          <w:sz w:val="21"/>
          <w:szCs w:val="21"/>
          <w:lang w:eastAsia="en-US"/>
        </w:rPr>
        <w:t xml:space="preserve">Telefon </w:t>
      </w:r>
      <w:r w:rsidRPr="004F40AA">
        <w:rPr>
          <w:rFonts w:ascii="Tahoma" w:eastAsiaTheme="minorHAnsi" w:hAnsi="Tahoma" w:cs="Tahoma"/>
          <w:b/>
          <w:bCs/>
          <w:sz w:val="21"/>
          <w:szCs w:val="21"/>
          <w:lang w:eastAsia="en-US" w:bidi="en-US"/>
        </w:rPr>
        <w:t xml:space="preserve">IP </w:t>
      </w:r>
      <w:r w:rsidRPr="004F40AA">
        <w:rPr>
          <w:rFonts w:ascii="Tahoma" w:eastAsiaTheme="minorHAnsi" w:hAnsi="Tahoma" w:cs="Tahoma"/>
          <w:b/>
          <w:bCs/>
          <w:sz w:val="21"/>
          <w:szCs w:val="21"/>
          <w:lang w:eastAsia="en-US"/>
        </w:rPr>
        <w:t xml:space="preserve">typ 2 - 3 </w:t>
      </w:r>
      <w:proofErr w:type="spellStart"/>
      <w:r w:rsidRPr="004F40AA">
        <w:rPr>
          <w:rFonts w:ascii="Tahoma" w:eastAsiaTheme="minorHAnsi" w:hAnsi="Tahoma" w:cs="Tahoma"/>
          <w:b/>
          <w:bCs/>
          <w:sz w:val="21"/>
          <w:szCs w:val="21"/>
          <w:lang w:eastAsia="en-US"/>
        </w:rPr>
        <w:t>kpl</w:t>
      </w:r>
      <w:proofErr w:type="spellEnd"/>
      <w:r w:rsidRPr="004F40AA">
        <w:rPr>
          <w:rFonts w:ascii="Tahoma" w:eastAsiaTheme="minorHAnsi" w:hAnsi="Tahoma" w:cs="Tahoma"/>
          <w:b/>
          <w:bCs/>
          <w:sz w:val="21"/>
          <w:szCs w:val="21"/>
          <w:lang w:eastAsia="en-US"/>
        </w:rPr>
        <w:t xml:space="preserve">. </w:t>
      </w:r>
    </w:p>
    <w:p w:rsidR="00AE494A" w:rsidRPr="00F227BB" w:rsidRDefault="00AE494A" w:rsidP="00AE494A">
      <w:pPr>
        <w:pStyle w:val="Akapitzlist"/>
        <w:spacing w:line="276" w:lineRule="auto"/>
        <w:ind w:left="426"/>
        <w:jc w:val="both"/>
        <w:rPr>
          <w:rFonts w:ascii="Tahoma" w:eastAsiaTheme="minorHAnsi" w:hAnsi="Tahoma" w:cs="Tahoma"/>
          <w:b/>
          <w:bCs/>
          <w:sz w:val="24"/>
          <w:szCs w:val="21"/>
          <w:lang w:eastAsia="en-US"/>
        </w:rPr>
      </w:pPr>
    </w:p>
    <w:p w:rsidR="00AE494A" w:rsidRPr="004F40AA" w:rsidRDefault="00AE494A" w:rsidP="00AE494A">
      <w:pPr>
        <w:spacing w:line="276" w:lineRule="auto"/>
        <w:jc w:val="both"/>
        <w:rPr>
          <w:rFonts w:ascii="Tahoma" w:eastAsiaTheme="minorHAnsi" w:hAnsi="Tahoma" w:cs="Tahoma"/>
          <w:b/>
          <w:bCs/>
          <w:sz w:val="28"/>
          <w:szCs w:val="21"/>
          <w:lang w:eastAsia="en-US" w:bidi="pl-PL"/>
        </w:rPr>
      </w:pPr>
      <w:r w:rsidRPr="004F40AA">
        <w:rPr>
          <w:rFonts w:ascii="Tahoma" w:eastAsiaTheme="minorHAnsi" w:hAnsi="Tahoma" w:cs="Tahoma"/>
          <w:b/>
          <w:bCs/>
          <w:sz w:val="28"/>
          <w:szCs w:val="21"/>
          <w:lang w:eastAsia="en-US" w:bidi="pl-PL"/>
        </w:rPr>
        <w:t>3.</w:t>
      </w:r>
      <w:r w:rsidRPr="004F40AA">
        <w:rPr>
          <w:rFonts w:ascii="Tahoma" w:eastAsiaTheme="minorHAnsi" w:hAnsi="Tahoma" w:cs="Tahoma"/>
          <w:b/>
          <w:bCs/>
          <w:sz w:val="28"/>
          <w:szCs w:val="21"/>
          <w:lang w:eastAsia="en-US" w:bidi="pl-PL"/>
        </w:rPr>
        <w:tab/>
        <w:t>Wymagania techniczne</w:t>
      </w:r>
    </w:p>
    <w:p w:rsidR="00AE494A" w:rsidRPr="004F40AA" w:rsidRDefault="00AE494A" w:rsidP="00AE494A">
      <w:pPr>
        <w:spacing w:line="276" w:lineRule="auto"/>
        <w:jc w:val="both"/>
        <w:rPr>
          <w:rFonts w:ascii="Tahoma" w:eastAsiaTheme="minorHAnsi" w:hAnsi="Tahoma" w:cs="Tahoma"/>
          <w:b/>
          <w:bCs/>
          <w:sz w:val="24"/>
          <w:szCs w:val="21"/>
          <w:lang w:eastAsia="en-US" w:bidi="pl-PL"/>
        </w:rPr>
      </w:pPr>
      <w:r w:rsidRPr="004F40AA">
        <w:rPr>
          <w:rFonts w:ascii="Tahoma" w:eastAsiaTheme="minorHAnsi" w:hAnsi="Tahoma" w:cs="Tahoma"/>
          <w:b/>
          <w:bCs/>
          <w:sz w:val="24"/>
          <w:szCs w:val="21"/>
          <w:lang w:eastAsia="en-US" w:bidi="pl-PL"/>
        </w:rPr>
        <w:t>3.1</w:t>
      </w:r>
      <w:r w:rsidRPr="004F40AA">
        <w:rPr>
          <w:rFonts w:ascii="Tahoma" w:eastAsiaTheme="minorHAnsi" w:hAnsi="Tahoma" w:cs="Tahoma"/>
          <w:b/>
          <w:bCs/>
          <w:sz w:val="24"/>
          <w:szCs w:val="21"/>
          <w:lang w:eastAsia="en-US" w:bidi="pl-PL"/>
        </w:rPr>
        <w:tab/>
        <w:t>Telefon IP typ 1</w:t>
      </w:r>
    </w:p>
    <w:p w:rsidR="00AE494A" w:rsidRDefault="00AE494A" w:rsidP="00AE494A">
      <w:pPr>
        <w:pStyle w:val="Akapitzlist"/>
        <w:numPr>
          <w:ilvl w:val="0"/>
          <w:numId w:val="3"/>
        </w:numPr>
        <w:spacing w:line="276" w:lineRule="auto"/>
        <w:ind w:left="709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Urządzenie musi wspierać kodek audio szerokopasmowy zgodnie ze standardem G.722, przy czym słuchawka, mikrofon oraz głośnik aparatu powinny umożliwiać wykorzystanie możliwości tego kodeka tak by zapewnić wysoką jakość rozmowy telefonicznej.</w:t>
      </w:r>
    </w:p>
    <w:p w:rsidR="00AE494A" w:rsidRDefault="00AE494A" w:rsidP="00AE494A">
      <w:pPr>
        <w:pStyle w:val="Akapitzlist"/>
        <w:numPr>
          <w:ilvl w:val="0"/>
          <w:numId w:val="3"/>
        </w:numPr>
        <w:spacing w:after="160" w:line="276" w:lineRule="auto"/>
        <w:ind w:left="709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lastRenderedPageBreak/>
        <w:t>Urządzenie musi wspierać kodeki audio co najmniej określone przez standardy G.711a, G.711p i G.729a, G.729ab tak by umożliwić współpracę z telefonami IP starszych generacji, nie obsługującymi kodeków szerokopasmowych, a także rozwiązaniami systemów telekomunikacyjnych innych producentów</w:t>
      </w:r>
      <w:r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.</w:t>
      </w:r>
    </w:p>
    <w:p w:rsidR="00AE494A" w:rsidRDefault="00AE494A" w:rsidP="00AE494A">
      <w:pPr>
        <w:pStyle w:val="Akapitzlist"/>
        <w:numPr>
          <w:ilvl w:val="0"/>
          <w:numId w:val="3"/>
        </w:numPr>
        <w:spacing w:after="160" w:line="276" w:lineRule="auto"/>
        <w:ind w:left="709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Urządzenie musi wspierać kodek audio wąskopasmowy działający zgodnie ze standardami Internet Speech Audio </w:t>
      </w:r>
      <w:proofErr w:type="spellStart"/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Codec</w:t>
      </w:r>
      <w:proofErr w:type="spellEnd"/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 (</w:t>
      </w:r>
      <w:proofErr w:type="spellStart"/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iSAC</w:t>
      </w:r>
      <w:proofErr w:type="spellEnd"/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) oraz Internet </w:t>
      </w:r>
      <w:proofErr w:type="spellStart"/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Low</w:t>
      </w:r>
      <w:proofErr w:type="spellEnd"/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 </w:t>
      </w:r>
      <w:proofErr w:type="spellStart"/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Bitrate</w:t>
      </w:r>
      <w:proofErr w:type="spellEnd"/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 </w:t>
      </w:r>
      <w:proofErr w:type="spellStart"/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Codec</w:t>
      </w:r>
      <w:proofErr w:type="spellEnd"/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 (</w:t>
      </w:r>
      <w:proofErr w:type="spellStart"/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iLBC</w:t>
      </w:r>
      <w:proofErr w:type="spellEnd"/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) - dla zapewnienia możliwości </w:t>
      </w:r>
      <w:proofErr w:type="spellStart"/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wykorzystytwania</w:t>
      </w:r>
      <w:proofErr w:type="spellEnd"/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 telefonów w placówkach objętych łączami </w:t>
      </w:r>
      <w:r w:rsidR="00AB1641">
        <w:rPr>
          <w:rFonts w:ascii="Tahoma" w:eastAsiaTheme="minorHAnsi" w:hAnsi="Tahoma" w:cs="Tahoma"/>
          <w:bCs/>
          <w:sz w:val="21"/>
          <w:szCs w:val="21"/>
          <w:lang w:eastAsia="en-US" w:bidi="pl-PL"/>
        </w:rPr>
        <w:br/>
      </w:r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o słabych lub niegwarantowanych parametrach jakościowych </w:t>
      </w:r>
      <w:proofErr w:type="spellStart"/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QoS</w:t>
      </w:r>
      <w:proofErr w:type="spellEnd"/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.</w:t>
      </w:r>
    </w:p>
    <w:p w:rsidR="00AE494A" w:rsidRPr="001403D6" w:rsidRDefault="00AE494A" w:rsidP="00AE494A">
      <w:pPr>
        <w:pStyle w:val="Akapitzlist"/>
        <w:numPr>
          <w:ilvl w:val="0"/>
          <w:numId w:val="3"/>
        </w:numPr>
        <w:spacing w:after="160" w:line="276" w:lineRule="auto"/>
        <w:ind w:left="709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Urządzenie musi realizować połączenia wideo na bazie standardu H.264 Application </w:t>
      </w:r>
      <w:proofErr w:type="spellStart"/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Visibility</w:t>
      </w:r>
      <w:proofErr w:type="spellEnd"/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 and Control (AVC) i umożliwiać kodowanie oraz dekodowanie obrazu wideo z prędkością nie mniejszą niż 30 ramek na sekundę dla rozdzielczości co najmniej:</w:t>
      </w:r>
    </w:p>
    <w:p w:rsidR="00AE494A" w:rsidRPr="00B62CDA" w:rsidRDefault="00AE494A" w:rsidP="00AE494A">
      <w:pPr>
        <w:spacing w:after="160" w:line="276" w:lineRule="auto"/>
        <w:ind w:left="1134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a.</w:t>
      </w: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ab/>
        <w:t>CIF (352 x 288 pikseli)</w:t>
      </w:r>
    </w:p>
    <w:p w:rsidR="00AE494A" w:rsidRPr="00B62CDA" w:rsidRDefault="00AE494A" w:rsidP="00AE494A">
      <w:pPr>
        <w:spacing w:after="160" w:line="276" w:lineRule="auto"/>
        <w:ind w:left="1134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b.</w:t>
      </w: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ab/>
        <w:t>VGA (640 x 480 pikseli)</w:t>
      </w:r>
    </w:p>
    <w:p w:rsidR="00AE494A" w:rsidRPr="00B62CDA" w:rsidRDefault="00AE494A" w:rsidP="00AE494A">
      <w:pPr>
        <w:spacing w:after="160" w:line="276" w:lineRule="auto"/>
        <w:ind w:left="1134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c.</w:t>
      </w: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ab/>
        <w:t>240p (432 x 240 pikseli)</w:t>
      </w:r>
    </w:p>
    <w:p w:rsidR="00AE494A" w:rsidRPr="00B62CDA" w:rsidRDefault="00AE494A" w:rsidP="00AE494A">
      <w:pPr>
        <w:spacing w:after="160" w:line="276" w:lineRule="auto"/>
        <w:ind w:left="1134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d.</w:t>
      </w: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ab/>
        <w:t>360p (640 x 360 pikseli)</w:t>
      </w:r>
    </w:p>
    <w:p w:rsidR="00AE494A" w:rsidRPr="00B62CDA" w:rsidRDefault="00AE494A" w:rsidP="00AE494A">
      <w:pPr>
        <w:spacing w:after="160" w:line="276" w:lineRule="auto"/>
        <w:ind w:left="1134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e.</w:t>
      </w: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ab/>
        <w:t>WVGA (800 x 480 pikseli)</w:t>
      </w:r>
    </w:p>
    <w:p w:rsidR="00AE494A" w:rsidRDefault="00AE494A" w:rsidP="00AE494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Urządzenie musi posiadać wbudowany duży, o przekątnej min. 5 cali, kolorowy, ekran wysokiej jakości (minimum 800 x 480 pikseli z 24 bitową głębią kolorów), umożliwiający jego wygodną obsługę, odczytywanie informacji i wywoływanie funkcji urządzenia oraz obsługujący wyświetlanie na nim ruchomego strumienia wideo.</w:t>
      </w:r>
    </w:p>
    <w:p w:rsidR="00AE494A" w:rsidRDefault="00AE494A" w:rsidP="00AE494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Urządzenie musi posiadać wbudowaną kamerę wideo o rozdzielczości matrycy nie mniejszej niż 720p. Urządzenie musi posiadać mechaniczną zasłonę obiektywu kamery.</w:t>
      </w:r>
    </w:p>
    <w:p w:rsidR="00AE494A" w:rsidRDefault="00AE494A" w:rsidP="00AE494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W zakresie bezpieczeństwa urządzenie musi pozwalać na:</w:t>
      </w:r>
    </w:p>
    <w:p w:rsidR="00AE494A" w:rsidRDefault="00AE494A" w:rsidP="00AE494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zabezpieczenie komunikacji z serwerem sterującym za pomocą TLS</w:t>
      </w:r>
    </w:p>
    <w:p w:rsidR="00AE494A" w:rsidRDefault="00AE494A" w:rsidP="00AE494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zabezpieczenie strumienia audio oraz wideo za pomocą </w:t>
      </w:r>
      <w:proofErr w:type="spellStart"/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SRTwP</w:t>
      </w:r>
      <w:proofErr w:type="spellEnd"/>
    </w:p>
    <w:p w:rsidR="00AE494A" w:rsidRPr="00275E8D" w:rsidRDefault="00AE494A" w:rsidP="00AE494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eastAsiaTheme="minorHAnsi" w:hAnsi="Tahoma" w:cs="Tahoma"/>
          <w:bCs/>
          <w:sz w:val="21"/>
          <w:szCs w:val="21"/>
          <w:lang w:val="en-US" w:eastAsia="en-US" w:bidi="pl-PL"/>
        </w:rPr>
      </w:pPr>
      <w:proofErr w:type="spellStart"/>
      <w:r w:rsidRPr="00275E8D">
        <w:rPr>
          <w:rFonts w:ascii="Tahoma" w:eastAsiaTheme="minorHAnsi" w:hAnsi="Tahoma" w:cs="Tahoma"/>
          <w:bCs/>
          <w:sz w:val="21"/>
          <w:szCs w:val="21"/>
          <w:lang w:val="en-US" w:eastAsia="en-US" w:bidi="pl-PL"/>
        </w:rPr>
        <w:t>wsparcie</w:t>
      </w:r>
      <w:proofErr w:type="spellEnd"/>
      <w:r w:rsidRPr="00275E8D">
        <w:rPr>
          <w:rFonts w:ascii="Tahoma" w:eastAsiaTheme="minorHAnsi" w:hAnsi="Tahoma" w:cs="Tahoma"/>
          <w:bCs/>
          <w:sz w:val="21"/>
          <w:szCs w:val="21"/>
          <w:lang w:val="en-US" w:eastAsia="en-US" w:bidi="pl-PL"/>
        </w:rPr>
        <w:t xml:space="preserve"> </w:t>
      </w:r>
      <w:proofErr w:type="spellStart"/>
      <w:r w:rsidRPr="00275E8D">
        <w:rPr>
          <w:rFonts w:ascii="Tahoma" w:eastAsiaTheme="minorHAnsi" w:hAnsi="Tahoma" w:cs="Tahoma"/>
          <w:bCs/>
          <w:sz w:val="21"/>
          <w:szCs w:val="21"/>
          <w:lang w:val="en-US" w:eastAsia="en-US" w:bidi="pl-PL"/>
        </w:rPr>
        <w:t>dla</w:t>
      </w:r>
      <w:proofErr w:type="spellEnd"/>
      <w:r w:rsidRPr="00275E8D">
        <w:rPr>
          <w:rFonts w:ascii="Tahoma" w:eastAsiaTheme="minorHAnsi" w:hAnsi="Tahoma" w:cs="Tahoma"/>
          <w:bCs/>
          <w:sz w:val="21"/>
          <w:szCs w:val="21"/>
          <w:lang w:val="en-US" w:eastAsia="en-US" w:bidi="pl-PL"/>
        </w:rPr>
        <w:t xml:space="preserve"> 802.1x Transport Layer Security (TLS)</w:t>
      </w:r>
    </w:p>
    <w:p w:rsidR="00AE494A" w:rsidRPr="00275E8D" w:rsidRDefault="00AE494A" w:rsidP="00AE494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eastAsiaTheme="minorHAnsi" w:hAnsi="Tahoma" w:cs="Tahoma"/>
          <w:bCs/>
          <w:sz w:val="21"/>
          <w:szCs w:val="21"/>
          <w:lang w:val="en-US" w:eastAsia="en-US" w:bidi="pl-PL"/>
        </w:rPr>
      </w:pPr>
      <w:proofErr w:type="spellStart"/>
      <w:r w:rsidRPr="00275E8D">
        <w:rPr>
          <w:rFonts w:ascii="Tahoma" w:eastAsiaTheme="minorHAnsi" w:hAnsi="Tahoma" w:cs="Tahoma"/>
          <w:bCs/>
          <w:sz w:val="21"/>
          <w:szCs w:val="21"/>
          <w:lang w:val="en-US" w:eastAsia="en-US" w:bidi="pl-PL"/>
        </w:rPr>
        <w:t>wsparcie</w:t>
      </w:r>
      <w:proofErr w:type="spellEnd"/>
      <w:r w:rsidRPr="00275E8D">
        <w:rPr>
          <w:rFonts w:ascii="Tahoma" w:eastAsiaTheme="minorHAnsi" w:hAnsi="Tahoma" w:cs="Tahoma"/>
          <w:bCs/>
          <w:sz w:val="21"/>
          <w:szCs w:val="21"/>
          <w:lang w:val="en-US" w:eastAsia="en-US" w:bidi="pl-PL"/>
        </w:rPr>
        <w:t xml:space="preserve"> </w:t>
      </w:r>
      <w:proofErr w:type="spellStart"/>
      <w:r w:rsidRPr="00275E8D">
        <w:rPr>
          <w:rFonts w:ascii="Tahoma" w:eastAsiaTheme="minorHAnsi" w:hAnsi="Tahoma" w:cs="Tahoma"/>
          <w:bCs/>
          <w:sz w:val="21"/>
          <w:szCs w:val="21"/>
          <w:lang w:val="en-US" w:eastAsia="en-US" w:bidi="pl-PL"/>
        </w:rPr>
        <w:t>dla</w:t>
      </w:r>
      <w:proofErr w:type="spellEnd"/>
      <w:r w:rsidRPr="00275E8D">
        <w:rPr>
          <w:rFonts w:ascii="Tahoma" w:eastAsiaTheme="minorHAnsi" w:hAnsi="Tahoma" w:cs="Tahoma"/>
          <w:bCs/>
          <w:sz w:val="21"/>
          <w:szCs w:val="21"/>
          <w:lang w:val="en-US" w:eastAsia="en-US" w:bidi="pl-PL"/>
        </w:rPr>
        <w:t xml:space="preserve"> Extensible Authentication Protocol - Transport Layer Security (EAP-TLS) </w:t>
      </w:r>
      <w:proofErr w:type="spellStart"/>
      <w:r w:rsidRPr="00275E8D">
        <w:rPr>
          <w:rFonts w:ascii="Tahoma" w:eastAsiaTheme="minorHAnsi" w:hAnsi="Tahoma" w:cs="Tahoma"/>
          <w:bCs/>
          <w:sz w:val="21"/>
          <w:szCs w:val="21"/>
          <w:lang w:val="en-US" w:eastAsia="en-US" w:bidi="pl-PL"/>
        </w:rPr>
        <w:t>oraz</w:t>
      </w:r>
      <w:proofErr w:type="spellEnd"/>
      <w:r w:rsidRPr="00275E8D">
        <w:rPr>
          <w:rFonts w:ascii="Tahoma" w:eastAsiaTheme="minorHAnsi" w:hAnsi="Tahoma" w:cs="Tahoma"/>
          <w:bCs/>
          <w:sz w:val="21"/>
          <w:szCs w:val="21"/>
          <w:lang w:val="en-US" w:eastAsia="en-US" w:bidi="pl-PL"/>
        </w:rPr>
        <w:t xml:space="preserve"> Extensible Authentication Protocol-Flexible Authentication via Secure Tunneling (EAP-FAST)</w:t>
      </w:r>
    </w:p>
    <w:p w:rsidR="00AE494A" w:rsidRDefault="00AE494A" w:rsidP="00AE494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obsługa certyfikatów cyfrowych fabrycznych oraz certyfikatów cyfrowych lokalnych</w:t>
      </w:r>
    </w:p>
    <w:p w:rsidR="00AE494A" w:rsidRDefault="00AE494A" w:rsidP="00AE494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możliwość całkowitego usunięcia wszystkich danych z urządzenia w kilku trybach: samodzielnie przez użytkownika, zdalnie przez administratora</w:t>
      </w:r>
    </w:p>
    <w:p w:rsidR="00AE494A" w:rsidRPr="001403D6" w:rsidRDefault="00AE494A" w:rsidP="00AE494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zamontowanie linki zabezpieczającej przed kradzieżą poprzez wbudowane gniazdo typu </w:t>
      </w:r>
      <w:proofErr w:type="spellStart"/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Kensington</w:t>
      </w:r>
      <w:proofErr w:type="spellEnd"/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 lub równoważne.</w:t>
      </w:r>
    </w:p>
    <w:p w:rsidR="00AE494A" w:rsidRDefault="00AE494A" w:rsidP="00AE494A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Urządzenie musi na bieżąco w czasie trwania rozmowy umożliwiać wyświetlanie lokalnie na jego ekranie, a także zdalnie poprzez przeglądarkę internetową, informacji diagnostycznych o połączeniu (rodzaj kodeka, liczba wysłanych, odebranych i zgubionych pakietów </w:t>
      </w:r>
      <w:r>
        <w:rPr>
          <w:rFonts w:ascii="Tahoma" w:eastAsiaTheme="minorHAnsi" w:hAnsi="Tahoma" w:cs="Tahoma"/>
          <w:bCs/>
          <w:sz w:val="21"/>
          <w:szCs w:val="21"/>
          <w:lang w:eastAsia="en-US" w:bidi="pl-PL"/>
        </w:rPr>
        <w:br/>
      </w:r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z próbkami głosowymi, zmienność opóźnienia przesyłania tych pakietów) - używane dla celów diagnostycznych w przypadku konieczności diagnozowania przez administratorów problemów z jakością transmisji głosu w systemie telekomunikacyjnym</w:t>
      </w:r>
      <w:r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.</w:t>
      </w:r>
    </w:p>
    <w:p w:rsidR="00AE494A" w:rsidRDefault="00AE494A" w:rsidP="00AE494A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Urządzenie musi posiadać wbudowany system głośnomówiący (tzw. </w:t>
      </w:r>
      <w:proofErr w:type="spellStart"/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speakerphone</w:t>
      </w:r>
      <w:proofErr w:type="spellEnd"/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), umożliwiający prowadzenie rozmowy bez podnoszenia słuchawki i działający w trybie </w:t>
      </w:r>
      <w:proofErr w:type="spellStart"/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full</w:t>
      </w:r>
      <w:proofErr w:type="spellEnd"/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-dupleks</w:t>
      </w:r>
      <w:r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.</w:t>
      </w:r>
    </w:p>
    <w:p w:rsidR="00AE494A" w:rsidRDefault="00AE494A" w:rsidP="00AE494A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Urządzenie musi posiadać porty, co najmniej port AUX</w:t>
      </w:r>
    </w:p>
    <w:p w:rsidR="00AE494A" w:rsidRDefault="00AE494A" w:rsidP="00AE494A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Urządzenie musi posiadać wbudowany przełącznik Ethernet, z dwoma portami 10/100/1000 </w:t>
      </w:r>
      <w:proofErr w:type="spellStart"/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Mbps</w:t>
      </w:r>
      <w:proofErr w:type="spellEnd"/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, port przełącznika urządzenia w kierunku przełącznika sieciowego powinien wspierać </w:t>
      </w:r>
      <w:proofErr w:type="spellStart"/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trunking</w:t>
      </w:r>
      <w:proofErr w:type="spellEnd"/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 802.1Q celem odseparowania ruchu głosu i ruchu danych</w:t>
      </w:r>
    </w:p>
    <w:p w:rsidR="00AE494A" w:rsidRPr="001403D6" w:rsidRDefault="00AE494A" w:rsidP="00AE494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Urządzenie musi posiadać co najmniej następujące dedykowane przyciski:</w:t>
      </w:r>
    </w:p>
    <w:p w:rsidR="00AE494A" w:rsidRPr="00B62CDA" w:rsidRDefault="00AE494A" w:rsidP="00AE494A">
      <w:pPr>
        <w:spacing w:line="276" w:lineRule="auto"/>
        <w:ind w:left="993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a.</w:t>
      </w: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ab/>
        <w:t>przycisk przekierowania połączenia</w:t>
      </w:r>
    </w:p>
    <w:p w:rsidR="00AE494A" w:rsidRPr="00B62CDA" w:rsidRDefault="00AE494A" w:rsidP="00AE494A">
      <w:pPr>
        <w:spacing w:line="276" w:lineRule="auto"/>
        <w:ind w:left="993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b.</w:t>
      </w: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ab/>
        <w:t>przycisk zawieszenia połączenia</w:t>
      </w:r>
    </w:p>
    <w:p w:rsidR="00AE494A" w:rsidRPr="00B62CDA" w:rsidRDefault="00AE494A" w:rsidP="00AE494A">
      <w:pPr>
        <w:spacing w:line="276" w:lineRule="auto"/>
        <w:ind w:left="993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c.</w:t>
      </w: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ab/>
        <w:t>przycisk zakończenia połączenia</w:t>
      </w:r>
    </w:p>
    <w:p w:rsidR="00AE494A" w:rsidRPr="00B62CDA" w:rsidRDefault="00AE494A" w:rsidP="00AE494A">
      <w:pPr>
        <w:spacing w:line="276" w:lineRule="auto"/>
        <w:ind w:left="993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d.</w:t>
      </w: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ab/>
        <w:t>przycisk sterujący poziomem głośności</w:t>
      </w:r>
    </w:p>
    <w:p w:rsidR="00AE494A" w:rsidRPr="00B62CDA" w:rsidRDefault="00AE494A" w:rsidP="00AE494A">
      <w:pPr>
        <w:spacing w:line="276" w:lineRule="auto"/>
        <w:ind w:left="993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e.</w:t>
      </w: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ab/>
        <w:t>przycisk wyłączenia mikrofonu</w:t>
      </w:r>
    </w:p>
    <w:p w:rsidR="00AE494A" w:rsidRPr="00B62CDA" w:rsidRDefault="00AE494A" w:rsidP="00AE494A">
      <w:pPr>
        <w:spacing w:line="276" w:lineRule="auto"/>
        <w:ind w:left="993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f.</w:t>
      </w: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ab/>
        <w:t>przycisk przełączenia na tryb głośnomówiący</w:t>
      </w:r>
    </w:p>
    <w:p w:rsidR="00AE494A" w:rsidRPr="00B62CDA" w:rsidRDefault="00AE494A" w:rsidP="00AE494A">
      <w:pPr>
        <w:spacing w:line="276" w:lineRule="auto"/>
        <w:ind w:left="993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g.</w:t>
      </w: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ab/>
        <w:t>przycisk przełączenia na tryb słuchawek nagłownych</w:t>
      </w:r>
    </w:p>
    <w:p w:rsidR="00AE494A" w:rsidRDefault="00AE494A" w:rsidP="00AE494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Urządzenie musi dawać dostęp do systemowej książki telefonicznej użytkowników oraz posiadać osobistą książkę telefoniczną</w:t>
      </w:r>
    </w:p>
    <w:p w:rsidR="00AE494A" w:rsidRDefault="00AE494A" w:rsidP="00AE494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Urządzenie musi dawać dostęp do historii połączeń odebranych, wykonanych, muszą oną być rozróżnialne</w:t>
      </w:r>
    </w:p>
    <w:p w:rsidR="00AE494A" w:rsidRDefault="00AE494A" w:rsidP="00AE494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Urządzenie musi obsługiwać wiele linii (numerów telefonicznych). Wymagana jest obsługa co najmniej 5 linii,</w:t>
      </w:r>
    </w:p>
    <w:p w:rsidR="00AE494A" w:rsidRPr="001403D6" w:rsidRDefault="00AE494A" w:rsidP="00AE494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Funkcja statusu obecności innego użytkownika powinna pokazywać:</w:t>
      </w:r>
    </w:p>
    <w:p w:rsidR="00AE494A" w:rsidRDefault="00AE494A" w:rsidP="00AE494A">
      <w:pPr>
        <w:pStyle w:val="Akapitzlist"/>
        <w:numPr>
          <w:ilvl w:val="0"/>
          <w:numId w:val="7"/>
        </w:numPr>
        <w:spacing w:line="276" w:lineRule="auto"/>
        <w:ind w:left="1418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status aktualnej zajętości linii telefonicznej innego użytkownika (wolny/zajęty)</w:t>
      </w:r>
    </w:p>
    <w:p w:rsidR="00AE494A" w:rsidRDefault="00AE494A" w:rsidP="00AE494A">
      <w:pPr>
        <w:pStyle w:val="Akapitzlist"/>
        <w:numPr>
          <w:ilvl w:val="0"/>
          <w:numId w:val="7"/>
        </w:numPr>
        <w:spacing w:line="276" w:lineRule="auto"/>
        <w:ind w:left="1418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inne statusy zdefiniowane przez użytkownika na innym terminalu, w szczególności informacja „Nie Przeszkadzać” (Do Not </w:t>
      </w:r>
      <w:proofErr w:type="spellStart"/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Disturb</w:t>
      </w:r>
      <w:proofErr w:type="spellEnd"/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 - DND)</w:t>
      </w:r>
    </w:p>
    <w:p w:rsidR="00AE494A" w:rsidRDefault="00AE494A" w:rsidP="00AE494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Urządzenie musi obsługiwać nawiązywanie połączeń poprzez wybranie numeru </w:t>
      </w:r>
      <w:r>
        <w:rPr>
          <w:rFonts w:ascii="Tahoma" w:eastAsiaTheme="minorHAnsi" w:hAnsi="Tahoma" w:cs="Tahoma"/>
          <w:bCs/>
          <w:sz w:val="21"/>
          <w:szCs w:val="21"/>
          <w:lang w:eastAsia="en-US" w:bidi="pl-PL"/>
        </w:rPr>
        <w:br/>
      </w:r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w standardzie E.164 oraz poprzez podanie adresu URI, tj. poprzez nazwę domenową terminalu adresata</w:t>
      </w:r>
      <w:r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.</w:t>
      </w:r>
    </w:p>
    <w:p w:rsidR="00AE494A" w:rsidRPr="002731C5" w:rsidRDefault="00AE494A" w:rsidP="00AE494A">
      <w:pPr>
        <w:pStyle w:val="Akapitzlist"/>
        <w:spacing w:line="276" w:lineRule="auto"/>
        <w:jc w:val="both"/>
        <w:rPr>
          <w:rFonts w:ascii="Tahoma" w:eastAsiaTheme="minorHAnsi" w:hAnsi="Tahoma" w:cs="Tahoma"/>
          <w:bCs/>
          <w:sz w:val="4"/>
          <w:szCs w:val="21"/>
          <w:lang w:eastAsia="en-US" w:bidi="pl-PL"/>
        </w:rPr>
      </w:pPr>
    </w:p>
    <w:p w:rsidR="00AE494A" w:rsidRPr="002731C5" w:rsidRDefault="00AE494A" w:rsidP="00AE494A">
      <w:pPr>
        <w:pStyle w:val="Akapitzlist"/>
        <w:spacing w:line="276" w:lineRule="auto"/>
        <w:jc w:val="both"/>
        <w:rPr>
          <w:rFonts w:ascii="Tahoma" w:eastAsiaTheme="minorHAnsi" w:hAnsi="Tahoma" w:cs="Tahoma"/>
          <w:bCs/>
          <w:sz w:val="4"/>
          <w:szCs w:val="21"/>
          <w:lang w:eastAsia="en-US" w:bidi="pl-PL"/>
        </w:rPr>
      </w:pPr>
    </w:p>
    <w:p w:rsidR="00AE494A" w:rsidRPr="004F40AA" w:rsidRDefault="00AE494A" w:rsidP="00AE494A">
      <w:pPr>
        <w:spacing w:line="276" w:lineRule="auto"/>
        <w:jc w:val="both"/>
        <w:rPr>
          <w:rFonts w:ascii="Tahoma" w:eastAsiaTheme="minorHAnsi" w:hAnsi="Tahoma" w:cs="Tahoma"/>
          <w:b/>
          <w:bCs/>
          <w:sz w:val="24"/>
          <w:szCs w:val="21"/>
          <w:lang w:eastAsia="en-US" w:bidi="pl-PL"/>
        </w:rPr>
      </w:pPr>
      <w:r w:rsidRPr="004F40AA">
        <w:rPr>
          <w:rFonts w:ascii="Tahoma" w:eastAsiaTheme="minorHAnsi" w:hAnsi="Tahoma" w:cs="Tahoma"/>
          <w:b/>
          <w:bCs/>
          <w:sz w:val="24"/>
          <w:szCs w:val="21"/>
          <w:lang w:eastAsia="en-US" w:bidi="pl-PL"/>
        </w:rPr>
        <w:t>3.2 Telefon IP typ 2</w:t>
      </w:r>
    </w:p>
    <w:p w:rsidR="00AE494A" w:rsidRPr="001403D6" w:rsidRDefault="00AE494A" w:rsidP="00AE494A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ahoma" w:eastAsiaTheme="minorHAnsi" w:hAnsi="Tahoma" w:cs="Tahoma"/>
          <w:b/>
          <w:bCs/>
          <w:sz w:val="22"/>
          <w:szCs w:val="21"/>
          <w:lang w:eastAsia="en-US" w:bidi="pl-PL"/>
        </w:rPr>
      </w:pPr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Urządzenie musi wspierać kodek audio szerokopasmowy zgodnie ze standardem G.722, przy czym słuchawka, mikrofon oraz głośnik aparatu powinny umożliwiać wykorzystanie możliwości tego kodeka tak by zapewnić wysoką jakość rozmowy telefonicznej.</w:t>
      </w:r>
    </w:p>
    <w:p w:rsidR="00AE494A" w:rsidRPr="001403D6" w:rsidRDefault="00AE494A" w:rsidP="00AE494A">
      <w:pPr>
        <w:pStyle w:val="Akapitzlist"/>
        <w:numPr>
          <w:ilvl w:val="0"/>
          <w:numId w:val="9"/>
        </w:numPr>
        <w:spacing w:after="160" w:line="276" w:lineRule="auto"/>
        <w:jc w:val="both"/>
        <w:rPr>
          <w:rFonts w:ascii="Tahoma" w:eastAsiaTheme="minorHAnsi" w:hAnsi="Tahoma" w:cs="Tahoma"/>
          <w:b/>
          <w:bCs/>
          <w:sz w:val="22"/>
          <w:szCs w:val="21"/>
          <w:lang w:eastAsia="en-US" w:bidi="pl-PL"/>
        </w:rPr>
      </w:pPr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Urządzenie musi wspierać kodeki audio co najmniej określone przez standardy G.711a, G.711p i G.729a, G.729ab tak by umożliwić współpracę z telefonami IP starszych generacji, nie obsługującymi kodeków szerokopasmowych, a także rozwiązaniami systemów telekomunikacyjnych innych producentów.</w:t>
      </w:r>
    </w:p>
    <w:p w:rsidR="00AE494A" w:rsidRDefault="00AE494A" w:rsidP="00AE494A">
      <w:pPr>
        <w:pStyle w:val="Akapitzlist"/>
        <w:numPr>
          <w:ilvl w:val="0"/>
          <w:numId w:val="9"/>
        </w:numPr>
        <w:spacing w:after="160"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Urządzenie musi wspierać kodek audio wąskopasmowy działający zgodnie ze standardami Internet Speech Audio </w:t>
      </w:r>
      <w:proofErr w:type="spellStart"/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Codec</w:t>
      </w:r>
      <w:proofErr w:type="spellEnd"/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 (</w:t>
      </w:r>
      <w:proofErr w:type="spellStart"/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iSAC</w:t>
      </w:r>
      <w:proofErr w:type="spellEnd"/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) oraz Internet </w:t>
      </w:r>
      <w:proofErr w:type="spellStart"/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Low</w:t>
      </w:r>
      <w:proofErr w:type="spellEnd"/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 </w:t>
      </w:r>
      <w:proofErr w:type="spellStart"/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Bitrate</w:t>
      </w:r>
      <w:proofErr w:type="spellEnd"/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 </w:t>
      </w:r>
      <w:proofErr w:type="spellStart"/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Codec</w:t>
      </w:r>
      <w:proofErr w:type="spellEnd"/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 (</w:t>
      </w:r>
      <w:proofErr w:type="spellStart"/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iLBC</w:t>
      </w:r>
      <w:proofErr w:type="spellEnd"/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) - dla zapewnienia możliwości wykorzystywania telefonów w placówkach objętych łączami o słabych lub niegwarantowanych parametrach jakościowych </w:t>
      </w:r>
      <w:proofErr w:type="spellStart"/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QoS</w:t>
      </w:r>
      <w:proofErr w:type="spellEnd"/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.</w:t>
      </w:r>
    </w:p>
    <w:p w:rsidR="00AE494A" w:rsidRPr="001403D6" w:rsidRDefault="00AE494A" w:rsidP="00AE494A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Urządzenie musi realizować połączenia wideo na bazie standardu H.264 Application </w:t>
      </w:r>
      <w:proofErr w:type="spellStart"/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Visibility</w:t>
      </w:r>
      <w:proofErr w:type="spellEnd"/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 and Control (AVC) i umożliwiać kodowanie oraz dekodowanie obrazu wideo z prędkością nie mniejszą niż 30 ramek na sekundę dla rozdzielczości co najmniej:</w:t>
      </w:r>
    </w:p>
    <w:p w:rsidR="00AE494A" w:rsidRPr="00B62CDA" w:rsidRDefault="00AE494A" w:rsidP="00AE494A">
      <w:pPr>
        <w:spacing w:line="276" w:lineRule="auto"/>
        <w:ind w:left="1134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a.</w:t>
      </w: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ab/>
        <w:t>CIF (352 x 288 pikseli),</w:t>
      </w:r>
    </w:p>
    <w:p w:rsidR="00AE494A" w:rsidRPr="00B62CDA" w:rsidRDefault="00AE494A" w:rsidP="00AE494A">
      <w:pPr>
        <w:spacing w:line="276" w:lineRule="auto"/>
        <w:ind w:left="1134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b.</w:t>
      </w: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ab/>
        <w:t>VGA (640 x 480 pikseli),</w:t>
      </w:r>
    </w:p>
    <w:p w:rsidR="00AE494A" w:rsidRPr="00B62CDA" w:rsidRDefault="00AE494A" w:rsidP="00AE494A">
      <w:pPr>
        <w:spacing w:line="276" w:lineRule="auto"/>
        <w:ind w:left="1134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c.</w:t>
      </w: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ab/>
        <w:t>240p (432 x 240 pikseli),</w:t>
      </w:r>
    </w:p>
    <w:p w:rsidR="00AE494A" w:rsidRPr="00B62CDA" w:rsidRDefault="00AE494A" w:rsidP="00AE494A">
      <w:pPr>
        <w:spacing w:line="276" w:lineRule="auto"/>
        <w:ind w:left="1134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d.</w:t>
      </w: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ab/>
        <w:t>360p (640 x 360 pikseli),</w:t>
      </w:r>
    </w:p>
    <w:p w:rsidR="00AE494A" w:rsidRDefault="00AE494A" w:rsidP="00AE494A">
      <w:pPr>
        <w:spacing w:line="276" w:lineRule="auto"/>
        <w:ind w:left="1134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e.</w:t>
      </w: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ab/>
        <w:t>WVGA (800 x 480 pikseli).</w:t>
      </w:r>
    </w:p>
    <w:p w:rsidR="00AE494A" w:rsidRDefault="00AE494A" w:rsidP="00AE494A">
      <w:pPr>
        <w:pStyle w:val="Akapitzlist"/>
        <w:numPr>
          <w:ilvl w:val="0"/>
          <w:numId w:val="10"/>
        </w:numPr>
        <w:spacing w:after="160"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Urządzenie musi posiadać wbudowany duży, o przekątnej min. 5 cali, kolorowy, ekran wysokiej jakości (minimum 800 x 480 pikseli z 24 bitową głębią kolorów), umożliwiający jego wygodną obsługę, odczytywanie informacji i wywoływanie funkcji urządzenia oraz obsługujący wyświetlanie na nim ruchomego strumienia wideo.</w:t>
      </w:r>
    </w:p>
    <w:p w:rsidR="00AE494A" w:rsidRDefault="00AE494A" w:rsidP="00AE494A">
      <w:pPr>
        <w:pStyle w:val="Akapitzlist"/>
        <w:numPr>
          <w:ilvl w:val="0"/>
          <w:numId w:val="10"/>
        </w:numPr>
        <w:spacing w:after="160"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Urządzenie musi posiadać wbudowaną kamerę wideo o rozdzielczości matrycy nie mniejszej niż 720p. Urządzenie musi posiadać mechaniczną zasłonę obiektywu kamery.</w:t>
      </w:r>
    </w:p>
    <w:p w:rsidR="00AE494A" w:rsidRDefault="00AE494A" w:rsidP="00AE494A">
      <w:pPr>
        <w:pStyle w:val="Akapitzlist"/>
        <w:numPr>
          <w:ilvl w:val="0"/>
          <w:numId w:val="10"/>
        </w:numPr>
        <w:spacing w:after="160"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1403D6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W zakresie bezpieczeństwa urządzenie musi pozwalać na:</w:t>
      </w:r>
    </w:p>
    <w:p w:rsidR="00AE494A" w:rsidRDefault="00AE494A" w:rsidP="00AE494A">
      <w:pPr>
        <w:pStyle w:val="Akapitzlist"/>
        <w:numPr>
          <w:ilvl w:val="0"/>
          <w:numId w:val="11"/>
        </w:numPr>
        <w:spacing w:after="160"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zabezpieczenie komunikacji z serwerem sterującym za pomocą TLS,</w:t>
      </w:r>
    </w:p>
    <w:p w:rsidR="00AE494A" w:rsidRDefault="00AE494A" w:rsidP="00AE494A">
      <w:pPr>
        <w:pStyle w:val="Akapitzlist"/>
        <w:numPr>
          <w:ilvl w:val="0"/>
          <w:numId w:val="11"/>
        </w:numPr>
        <w:spacing w:after="160"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zabezpieczenie strumienia audio oraz wideo za pomocą SRTP,</w:t>
      </w:r>
    </w:p>
    <w:p w:rsidR="00AE494A" w:rsidRDefault="00AE494A" w:rsidP="00AE494A">
      <w:pPr>
        <w:pStyle w:val="Akapitzlist"/>
        <w:numPr>
          <w:ilvl w:val="0"/>
          <w:numId w:val="11"/>
        </w:numPr>
        <w:spacing w:after="160"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zestawienie tunelu VPN między urządzeniem, a koncentratorem VPN,</w:t>
      </w:r>
    </w:p>
    <w:p w:rsidR="00AE494A" w:rsidRPr="00275E8D" w:rsidRDefault="00AE494A" w:rsidP="00AE494A">
      <w:pPr>
        <w:pStyle w:val="Akapitzlist"/>
        <w:numPr>
          <w:ilvl w:val="0"/>
          <w:numId w:val="11"/>
        </w:numPr>
        <w:spacing w:after="160" w:line="276" w:lineRule="auto"/>
        <w:jc w:val="both"/>
        <w:rPr>
          <w:rFonts w:ascii="Tahoma" w:eastAsiaTheme="minorHAnsi" w:hAnsi="Tahoma" w:cs="Tahoma"/>
          <w:bCs/>
          <w:sz w:val="21"/>
          <w:szCs w:val="21"/>
          <w:lang w:val="en-US" w:eastAsia="en-US" w:bidi="pl-PL"/>
        </w:rPr>
      </w:pPr>
      <w:proofErr w:type="spellStart"/>
      <w:r w:rsidRPr="00275E8D">
        <w:rPr>
          <w:rFonts w:ascii="Tahoma" w:eastAsiaTheme="minorHAnsi" w:hAnsi="Tahoma" w:cs="Tahoma"/>
          <w:bCs/>
          <w:sz w:val="21"/>
          <w:szCs w:val="21"/>
          <w:lang w:val="en-US" w:eastAsia="en-US" w:bidi="pl-PL"/>
        </w:rPr>
        <w:t>wsparcie</w:t>
      </w:r>
      <w:proofErr w:type="spellEnd"/>
      <w:r w:rsidRPr="00275E8D">
        <w:rPr>
          <w:rFonts w:ascii="Tahoma" w:eastAsiaTheme="minorHAnsi" w:hAnsi="Tahoma" w:cs="Tahoma"/>
          <w:bCs/>
          <w:sz w:val="21"/>
          <w:szCs w:val="21"/>
          <w:lang w:val="en-US" w:eastAsia="en-US" w:bidi="pl-PL"/>
        </w:rPr>
        <w:t xml:space="preserve"> </w:t>
      </w:r>
      <w:proofErr w:type="spellStart"/>
      <w:r w:rsidRPr="00275E8D">
        <w:rPr>
          <w:rFonts w:ascii="Tahoma" w:eastAsiaTheme="minorHAnsi" w:hAnsi="Tahoma" w:cs="Tahoma"/>
          <w:bCs/>
          <w:sz w:val="21"/>
          <w:szCs w:val="21"/>
          <w:lang w:val="en-US" w:eastAsia="en-US" w:bidi="pl-PL"/>
        </w:rPr>
        <w:t>dla</w:t>
      </w:r>
      <w:proofErr w:type="spellEnd"/>
      <w:r w:rsidRPr="00275E8D">
        <w:rPr>
          <w:rFonts w:ascii="Tahoma" w:eastAsiaTheme="minorHAnsi" w:hAnsi="Tahoma" w:cs="Tahoma"/>
          <w:bCs/>
          <w:sz w:val="21"/>
          <w:szCs w:val="21"/>
          <w:lang w:val="en-US" w:eastAsia="en-US" w:bidi="pl-PL"/>
        </w:rPr>
        <w:t xml:space="preserve"> 802.1x Transport Layer Security (TLS),</w:t>
      </w:r>
    </w:p>
    <w:p w:rsidR="00AE494A" w:rsidRDefault="00AE494A" w:rsidP="00AE494A">
      <w:pPr>
        <w:pStyle w:val="Akapitzlist"/>
        <w:numPr>
          <w:ilvl w:val="0"/>
          <w:numId w:val="11"/>
        </w:numPr>
        <w:spacing w:after="160"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wsparcie dla Wi-Fi </w:t>
      </w:r>
      <w:proofErr w:type="spellStart"/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Protected</w:t>
      </w:r>
      <w:proofErr w:type="spellEnd"/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 Access 2 (WPA2) EAP-FAST,</w:t>
      </w:r>
    </w:p>
    <w:p w:rsidR="00AE494A" w:rsidRPr="00275E8D" w:rsidRDefault="00AE494A" w:rsidP="00AE494A">
      <w:pPr>
        <w:pStyle w:val="Akapitzlist"/>
        <w:numPr>
          <w:ilvl w:val="0"/>
          <w:numId w:val="11"/>
        </w:numPr>
        <w:spacing w:after="160" w:line="276" w:lineRule="auto"/>
        <w:jc w:val="both"/>
        <w:rPr>
          <w:rFonts w:ascii="Tahoma" w:eastAsiaTheme="minorHAnsi" w:hAnsi="Tahoma" w:cs="Tahoma"/>
          <w:bCs/>
          <w:sz w:val="21"/>
          <w:szCs w:val="21"/>
          <w:lang w:val="en-US" w:eastAsia="en-US" w:bidi="pl-PL"/>
        </w:rPr>
      </w:pPr>
      <w:proofErr w:type="spellStart"/>
      <w:r w:rsidRPr="00275E8D">
        <w:rPr>
          <w:rFonts w:ascii="Tahoma" w:eastAsiaTheme="minorHAnsi" w:hAnsi="Tahoma" w:cs="Tahoma"/>
          <w:bCs/>
          <w:sz w:val="21"/>
          <w:szCs w:val="21"/>
          <w:lang w:val="en-US" w:eastAsia="en-US" w:bidi="pl-PL"/>
        </w:rPr>
        <w:t>wsparcie</w:t>
      </w:r>
      <w:proofErr w:type="spellEnd"/>
      <w:r w:rsidRPr="00275E8D">
        <w:rPr>
          <w:rFonts w:ascii="Tahoma" w:eastAsiaTheme="minorHAnsi" w:hAnsi="Tahoma" w:cs="Tahoma"/>
          <w:bCs/>
          <w:sz w:val="21"/>
          <w:szCs w:val="21"/>
          <w:lang w:val="en-US" w:eastAsia="en-US" w:bidi="pl-PL"/>
        </w:rPr>
        <w:t xml:space="preserve"> </w:t>
      </w:r>
      <w:proofErr w:type="spellStart"/>
      <w:r w:rsidRPr="00275E8D">
        <w:rPr>
          <w:rFonts w:ascii="Tahoma" w:eastAsiaTheme="minorHAnsi" w:hAnsi="Tahoma" w:cs="Tahoma"/>
          <w:bCs/>
          <w:sz w:val="21"/>
          <w:szCs w:val="21"/>
          <w:lang w:val="en-US" w:eastAsia="en-US" w:bidi="pl-PL"/>
        </w:rPr>
        <w:t>dla</w:t>
      </w:r>
      <w:proofErr w:type="spellEnd"/>
      <w:r w:rsidRPr="00275E8D">
        <w:rPr>
          <w:rFonts w:ascii="Tahoma" w:eastAsiaTheme="minorHAnsi" w:hAnsi="Tahoma" w:cs="Tahoma"/>
          <w:bCs/>
          <w:sz w:val="21"/>
          <w:szCs w:val="21"/>
          <w:lang w:val="en-US" w:eastAsia="en-US" w:bidi="pl-PL"/>
        </w:rPr>
        <w:t xml:space="preserve"> Extensible Authentication Protocol - Transport Layer Security (EAP-TLS),</w:t>
      </w:r>
    </w:p>
    <w:p w:rsidR="00AE494A" w:rsidRDefault="00AE494A" w:rsidP="00AE494A">
      <w:pPr>
        <w:pStyle w:val="Akapitzlist"/>
        <w:numPr>
          <w:ilvl w:val="0"/>
          <w:numId w:val="11"/>
        </w:numPr>
        <w:spacing w:after="160"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obsługa certyfikatów cyfrowych fabrycznych oraz certyfikatów cyfrowych lokalnych,</w:t>
      </w:r>
    </w:p>
    <w:p w:rsidR="00AE494A" w:rsidRDefault="00AE494A" w:rsidP="00AE494A">
      <w:pPr>
        <w:pStyle w:val="Akapitzlist"/>
        <w:numPr>
          <w:ilvl w:val="0"/>
          <w:numId w:val="11"/>
        </w:numPr>
        <w:spacing w:after="160"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możliwość administracyjnego wyłączenia portów urządzenia: USB, SD, WLAN, Bluetooth,</w:t>
      </w:r>
    </w:p>
    <w:p w:rsidR="00AE494A" w:rsidRDefault="00AE494A" w:rsidP="00AE494A">
      <w:pPr>
        <w:pStyle w:val="Akapitzlist"/>
        <w:numPr>
          <w:ilvl w:val="0"/>
          <w:numId w:val="11"/>
        </w:numPr>
        <w:spacing w:after="160"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możliwość całkowitego usunięcia wszystkich danych z urządzenia w kilku trybach: samodzielnie przez użytkownika, zdalnie przez administratora oraz automatycznie po nieudanych próbach zalogowania.</w:t>
      </w:r>
    </w:p>
    <w:p w:rsidR="00AE494A" w:rsidRDefault="00AE494A" w:rsidP="00AE494A">
      <w:pPr>
        <w:pStyle w:val="Akapitzlist"/>
        <w:numPr>
          <w:ilvl w:val="0"/>
          <w:numId w:val="12"/>
        </w:numPr>
        <w:spacing w:after="160"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Urządzenie musi na bieżąco w czasie trwania rozmowy umożliwiać wyświetlanie lokalnie na jego ekranie, a także zdalnie poprzez przeglądarkę internetową, informacji diagnostycznych o połączeniu (rodzaj kodeka, liczba wysłanych, odebranych i zgubionych pakietów </w:t>
      </w:r>
      <w:r>
        <w:rPr>
          <w:rFonts w:ascii="Tahoma" w:eastAsiaTheme="minorHAnsi" w:hAnsi="Tahoma" w:cs="Tahoma"/>
          <w:bCs/>
          <w:sz w:val="21"/>
          <w:szCs w:val="21"/>
          <w:lang w:eastAsia="en-US" w:bidi="pl-PL"/>
        </w:rPr>
        <w:br/>
      </w:r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z próbkami głosowymi, zmienność opóźnienia przesyłania tych pakietów) - używane dla celów diagnostycznych w przypadku konieczności diagnozowania przez administratorów problemów z jakością transmisji głosu w systemie telekomunikacyjnym.</w:t>
      </w:r>
    </w:p>
    <w:p w:rsidR="00AE494A" w:rsidRPr="00B720C0" w:rsidRDefault="00AE494A" w:rsidP="00AE494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Urządzenie musi posiadać porty, co najmniej:</w:t>
      </w:r>
    </w:p>
    <w:p w:rsidR="00AE494A" w:rsidRPr="00B62CDA" w:rsidRDefault="00AE494A" w:rsidP="00AE494A">
      <w:pPr>
        <w:spacing w:line="276" w:lineRule="auto"/>
        <w:ind w:left="993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a.</w:t>
      </w: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ab/>
        <w:t xml:space="preserve">1 </w:t>
      </w:r>
      <w:proofErr w:type="spellStart"/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portAUX</w:t>
      </w:r>
      <w:proofErr w:type="spellEnd"/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,</w:t>
      </w:r>
    </w:p>
    <w:p w:rsidR="00AE494A" w:rsidRDefault="00AE494A" w:rsidP="00AE494A">
      <w:pPr>
        <w:spacing w:line="276" w:lineRule="auto"/>
        <w:ind w:left="993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b.</w:t>
      </w: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ab/>
        <w:t>2 port USB zapewniający prąd do 500mA przy napięciu zasilania 5V.</w:t>
      </w:r>
    </w:p>
    <w:p w:rsidR="00AE494A" w:rsidRDefault="00AE494A" w:rsidP="00AE494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Urządzenie musi posiadać wbudowany system głośnomówiący (tzw. </w:t>
      </w:r>
      <w:proofErr w:type="spellStart"/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speakerphone</w:t>
      </w:r>
      <w:proofErr w:type="spellEnd"/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), umożliwiający prowadzenie rozmowy bez podnoszenia słuchawki i działający w trybie </w:t>
      </w:r>
      <w:r>
        <w:rPr>
          <w:rFonts w:ascii="Tahoma" w:eastAsiaTheme="minorHAnsi" w:hAnsi="Tahoma" w:cs="Tahoma"/>
          <w:bCs/>
          <w:sz w:val="21"/>
          <w:szCs w:val="21"/>
          <w:lang w:eastAsia="en-US" w:bidi="pl-PL"/>
        </w:rPr>
        <w:br/>
      </w:r>
      <w:proofErr w:type="spellStart"/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full</w:t>
      </w:r>
      <w:proofErr w:type="spellEnd"/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-dupleks.</w:t>
      </w:r>
    </w:p>
    <w:p w:rsidR="00AE494A" w:rsidRDefault="00AE494A" w:rsidP="00AE494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Urządzenie musi posiadać porty, co najmniej port AUX</w:t>
      </w:r>
    </w:p>
    <w:p w:rsidR="00AE494A" w:rsidRDefault="00AE494A" w:rsidP="00AE494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Urządzenie musi posiadać wbudowany przełącznik Ethernet, z dwoma portami 10/100/1000 </w:t>
      </w:r>
      <w:proofErr w:type="spellStart"/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Mbps</w:t>
      </w:r>
      <w:proofErr w:type="spellEnd"/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, port przełącznika urządzenia w kierunku przełącznika sieciowego powinien wspierać </w:t>
      </w:r>
      <w:proofErr w:type="spellStart"/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trunking</w:t>
      </w:r>
      <w:proofErr w:type="spellEnd"/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 802.1Q celem odseparowania ruchu głosu i ruchu danych.</w:t>
      </w:r>
    </w:p>
    <w:p w:rsidR="00AE494A" w:rsidRPr="00B720C0" w:rsidRDefault="00AE494A" w:rsidP="00AE494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Urządzenie musi posiadać co najmniej następujące dedykowane przyciski:</w:t>
      </w:r>
    </w:p>
    <w:p w:rsidR="00AE494A" w:rsidRPr="00B62CDA" w:rsidRDefault="00AE494A" w:rsidP="00AE494A">
      <w:pPr>
        <w:spacing w:line="276" w:lineRule="auto"/>
        <w:ind w:left="851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a.</w:t>
      </w: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ab/>
        <w:t>przycisk przekierowania połączenia,</w:t>
      </w:r>
    </w:p>
    <w:p w:rsidR="00AE494A" w:rsidRPr="00B62CDA" w:rsidRDefault="00AE494A" w:rsidP="00AE494A">
      <w:pPr>
        <w:spacing w:line="276" w:lineRule="auto"/>
        <w:ind w:left="851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b.</w:t>
      </w: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ab/>
        <w:t>przycisk zawieszenia połączenia,</w:t>
      </w:r>
    </w:p>
    <w:p w:rsidR="00AE494A" w:rsidRPr="00B62CDA" w:rsidRDefault="00AE494A" w:rsidP="00AE494A">
      <w:pPr>
        <w:spacing w:line="276" w:lineRule="auto"/>
        <w:ind w:left="851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c.</w:t>
      </w: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ab/>
        <w:t>przycisk zakończenia połączenia,</w:t>
      </w:r>
    </w:p>
    <w:p w:rsidR="00AE494A" w:rsidRPr="00B62CDA" w:rsidRDefault="00AE494A" w:rsidP="00AE494A">
      <w:pPr>
        <w:spacing w:line="276" w:lineRule="auto"/>
        <w:ind w:left="851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d.</w:t>
      </w: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ab/>
        <w:t>przycisk sterujący poziomem głośności,</w:t>
      </w:r>
    </w:p>
    <w:p w:rsidR="00AE494A" w:rsidRPr="00B62CDA" w:rsidRDefault="00AE494A" w:rsidP="00AE494A">
      <w:pPr>
        <w:spacing w:line="276" w:lineRule="auto"/>
        <w:ind w:left="851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e.</w:t>
      </w: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ab/>
        <w:t>przycisk wyłączenia mikrofonu,</w:t>
      </w:r>
    </w:p>
    <w:p w:rsidR="00AE494A" w:rsidRPr="00B62CDA" w:rsidRDefault="00AE494A" w:rsidP="00AE494A">
      <w:pPr>
        <w:spacing w:line="276" w:lineRule="auto"/>
        <w:ind w:left="851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f.</w:t>
      </w: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ab/>
        <w:t>przycisk przełączenia na tryb głośnomówiący,</w:t>
      </w:r>
    </w:p>
    <w:p w:rsidR="00AE494A" w:rsidRDefault="00AE494A" w:rsidP="00AE494A">
      <w:pPr>
        <w:spacing w:line="276" w:lineRule="auto"/>
        <w:ind w:left="851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g.</w:t>
      </w:r>
      <w:r w:rsidRPr="00B62CD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ab/>
        <w:t>przycisk przełączenia na tryb słuchawek nagłownych.</w:t>
      </w:r>
    </w:p>
    <w:p w:rsidR="00AE494A" w:rsidRDefault="00AE494A" w:rsidP="00AE494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Urządzenie musi dawać dostęp do systemowej książki telefonicznej użytkowników oraz posiadać osobistą książkę telefoniczną.</w:t>
      </w:r>
    </w:p>
    <w:p w:rsidR="00AE494A" w:rsidRDefault="00AE494A" w:rsidP="00AE494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Urządzenie musi dawać dostęp do historii połączeń odebranych, wykonanych, muszą oną być rozróżnialne.</w:t>
      </w:r>
    </w:p>
    <w:p w:rsidR="00AE494A" w:rsidRDefault="00AE494A" w:rsidP="00AE494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Urządzenie musi obsłużyć do 3 modułów z przyciskami szybkiego wybierania,</w:t>
      </w:r>
    </w:p>
    <w:p w:rsidR="00AE494A" w:rsidRDefault="00AE494A" w:rsidP="00AE494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Urządzenie musi posiadać w zestawie 2 dołączane moduły przycisków szybkiego wybierania oraz potrzebne przewody do podłączania do telefonu.</w:t>
      </w:r>
    </w:p>
    <w:p w:rsidR="00AE494A" w:rsidRDefault="00AE494A" w:rsidP="00AE494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Urządzenie musi obsługiwać wiele linii (numerów telefonicznych). Wymagana jest obsługa co najmniej 5 linii.</w:t>
      </w:r>
    </w:p>
    <w:p w:rsidR="00AE494A" w:rsidRDefault="00AE494A" w:rsidP="00AE494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Funkcja statusu obecności innego użytkownika powinna pokazywać:</w:t>
      </w:r>
    </w:p>
    <w:p w:rsidR="00AE494A" w:rsidRDefault="00AE494A" w:rsidP="00AE494A">
      <w:pPr>
        <w:pStyle w:val="Akapitzlist"/>
        <w:numPr>
          <w:ilvl w:val="0"/>
          <w:numId w:val="15"/>
        </w:numPr>
        <w:spacing w:line="276" w:lineRule="auto"/>
        <w:ind w:left="1134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status aktualnej zajętości linii telefonicznej innego użytkownika (wolny/zajęty),</w:t>
      </w:r>
    </w:p>
    <w:p w:rsidR="00AE494A" w:rsidRDefault="00AE494A" w:rsidP="00AE494A">
      <w:pPr>
        <w:pStyle w:val="Akapitzlist"/>
        <w:numPr>
          <w:ilvl w:val="0"/>
          <w:numId w:val="15"/>
        </w:numPr>
        <w:spacing w:line="276" w:lineRule="auto"/>
        <w:ind w:left="1134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inne statusy zdefiniowane przez użytkownika na innym terminalu, w szczególności informacja „Nie Przeszkadzać’’ (Do Not </w:t>
      </w:r>
      <w:proofErr w:type="spellStart"/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Disturb</w:t>
      </w:r>
      <w:proofErr w:type="spellEnd"/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 - DND).</w:t>
      </w:r>
    </w:p>
    <w:p w:rsidR="00AE494A" w:rsidRDefault="00AE494A" w:rsidP="00AE49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Urządzenie musi obsługiwać nawiązywanie połączeń poprzez wybranie numeru </w:t>
      </w:r>
      <w:r>
        <w:rPr>
          <w:rFonts w:ascii="Tahoma" w:eastAsiaTheme="minorHAnsi" w:hAnsi="Tahoma" w:cs="Tahoma"/>
          <w:bCs/>
          <w:sz w:val="21"/>
          <w:szCs w:val="21"/>
          <w:lang w:eastAsia="en-US" w:bidi="pl-PL"/>
        </w:rPr>
        <w:br/>
      </w:r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w standardzie E.164 oraz poprzez podanie adresu URI, tj. poprzez nazwę domenową terminalu adresata.</w:t>
      </w:r>
    </w:p>
    <w:p w:rsidR="00AE494A" w:rsidRDefault="00AE494A" w:rsidP="00AE49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Urządzenie musi zapewniać wsparcie dla standardowego protokołu sterującego SIP.</w:t>
      </w:r>
    </w:p>
    <w:p w:rsidR="00AE494A" w:rsidRDefault="00AE494A" w:rsidP="00AE49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Urządzenie musi posiadać wbudowany interfejs bezprzewodowy Bluetooth co najmniej </w:t>
      </w:r>
      <w:r>
        <w:rPr>
          <w:rFonts w:ascii="Tahoma" w:eastAsiaTheme="minorHAnsi" w:hAnsi="Tahoma" w:cs="Tahoma"/>
          <w:bCs/>
          <w:sz w:val="21"/>
          <w:szCs w:val="21"/>
          <w:lang w:eastAsia="en-US" w:bidi="pl-PL"/>
        </w:rPr>
        <w:br/>
      </w:r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w wersji 4.1 z </w:t>
      </w:r>
      <w:proofErr w:type="spellStart"/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Enhanced</w:t>
      </w:r>
      <w:proofErr w:type="spellEnd"/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 Data </w:t>
      </w:r>
      <w:proofErr w:type="spellStart"/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Rate</w:t>
      </w:r>
      <w:proofErr w:type="spellEnd"/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 (EDR) do obsługi urządzeń peryferyjnych co najmniej:</w:t>
      </w:r>
    </w:p>
    <w:p w:rsidR="00AE494A" w:rsidRDefault="00AE494A" w:rsidP="00AE494A">
      <w:pPr>
        <w:pStyle w:val="Akapitzlist"/>
        <w:numPr>
          <w:ilvl w:val="0"/>
          <w:numId w:val="17"/>
        </w:numPr>
        <w:spacing w:line="276" w:lineRule="auto"/>
        <w:ind w:left="1134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zestawem słuchawkowym,</w:t>
      </w:r>
    </w:p>
    <w:p w:rsidR="00AE494A" w:rsidRDefault="00AE494A" w:rsidP="00AE494A">
      <w:pPr>
        <w:pStyle w:val="Akapitzlist"/>
        <w:numPr>
          <w:ilvl w:val="0"/>
          <w:numId w:val="17"/>
        </w:numPr>
        <w:spacing w:line="276" w:lineRule="auto"/>
        <w:ind w:left="1134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urządzeń osobiste z opcją do wykonywania połączeń i dostępu do książki telefonicznej.</w:t>
      </w:r>
    </w:p>
    <w:p w:rsidR="00AE494A" w:rsidRDefault="00AE494A" w:rsidP="00AE494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Urządzenie musi mieć możliwość zalogowania się na nim użytkownika z przypisanym profilem. Wraz z zalogowaniem do urządzenia zostają do niego przypisane parametry profilu załogowanego abonenta takie, jak: numery linii, uprawnienia abonenckie, ustawienia obsługi połączeń, które zdefiniowane są centralnie w systemie zarządzania połączeniami.</w:t>
      </w:r>
    </w:p>
    <w:p w:rsidR="00AE494A" w:rsidRDefault="00AE494A" w:rsidP="00AE494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Menu urządzenia powinno być zrealizowane w języku polskim oraz angielskim, przy czym wymagane jest, aby możliwa była zmiana rodzaju języka menu w zależności od ustawień </w:t>
      </w:r>
      <w:r>
        <w:rPr>
          <w:rFonts w:ascii="Tahoma" w:eastAsiaTheme="minorHAnsi" w:hAnsi="Tahoma" w:cs="Tahoma"/>
          <w:bCs/>
          <w:sz w:val="21"/>
          <w:szCs w:val="21"/>
          <w:lang w:eastAsia="en-US" w:bidi="pl-PL"/>
        </w:rPr>
        <w:br/>
      </w:r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w profilu załogowanego na nim użytkownika.</w:t>
      </w:r>
    </w:p>
    <w:p w:rsidR="00AE494A" w:rsidRDefault="00AE494A" w:rsidP="00AE494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Urządzenie musi umożliwiać zasilanie go z sieci komputerowej LAN zgodnie ze standardem </w:t>
      </w:r>
      <w:proofErr w:type="spellStart"/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PoE</w:t>
      </w:r>
      <w:proofErr w:type="spellEnd"/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 IEEE 802.3af i IEEE 802.at oraz z wykorzystaniem lokalnych zasilaczy (transformujących napięcie z sieci 230V).</w:t>
      </w:r>
    </w:p>
    <w:p w:rsidR="00AE494A" w:rsidRDefault="00AE494A" w:rsidP="00AE494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Wraz z urządzeniem powinien być zapewniony </w:t>
      </w:r>
      <w:proofErr w:type="spellStart"/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patchcord</w:t>
      </w:r>
      <w:proofErr w:type="spellEnd"/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 xml:space="preserve"> o długości co najmniej 1 metr, umożliwiający dołączenie go do gniazda sieci LAN.</w:t>
      </w:r>
    </w:p>
    <w:p w:rsidR="00AE494A" w:rsidRDefault="00AE494A" w:rsidP="00AE494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B720C0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Urządzenie powinno być zarządzane centralnie poprzez system komunikacyjny Zamawiającego w zakresie co najmniej:</w:t>
      </w:r>
    </w:p>
    <w:p w:rsidR="00AE494A" w:rsidRDefault="00AE494A" w:rsidP="00AE494A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8C267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Pobierania oraz wymiany plików konfiguracyjnych oraz oprogramowania z serwerów komunikacyjnych Zamawiającego,</w:t>
      </w:r>
    </w:p>
    <w:p w:rsidR="00AE494A" w:rsidRDefault="00AE494A" w:rsidP="00AE494A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8C267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Obsługi oprogramowania (</w:t>
      </w:r>
      <w:proofErr w:type="spellStart"/>
      <w:r w:rsidRPr="008C267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firmware</w:t>
      </w:r>
      <w:proofErr w:type="spellEnd"/>
      <w:r w:rsidRPr="008C267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), które jest podpisane cyfrowo przez producenta oraz pliki konfiguracyjne zaszyfrowane przez serwery komunikacyjne Zamawiającego,</w:t>
      </w:r>
    </w:p>
    <w:p w:rsidR="00AE494A" w:rsidRDefault="00AE494A" w:rsidP="00AE494A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8C267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Możliwości zdalnej zmiany ustawień urządzenia: numery i opisy linii, funkcje przypisane do programowalnych klawiszy funkcyjnych, uprawnienia abonenckie dla danych linii urządzenia, przypisanie do właściwych elementów infrastruktury (bramy i mostki telekonferencyjne),</w:t>
      </w:r>
    </w:p>
    <w:p w:rsidR="00AE494A" w:rsidRDefault="00AE494A" w:rsidP="00AE494A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8C267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Możliwości zdalnego restartu urządzenia lub grupy urządzeń,</w:t>
      </w:r>
    </w:p>
    <w:p w:rsidR="00AE494A" w:rsidRDefault="00AE494A" w:rsidP="00AE494A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  <w:r w:rsidRPr="008C267A">
        <w:rPr>
          <w:rFonts w:ascii="Tahoma" w:eastAsiaTheme="minorHAnsi" w:hAnsi="Tahoma" w:cs="Tahoma"/>
          <w:bCs/>
          <w:sz w:val="21"/>
          <w:szCs w:val="21"/>
          <w:lang w:eastAsia="en-US" w:bidi="pl-PL"/>
        </w:rPr>
        <w:t>Możliwości dystrybucji certyfikatów dla urządzeń z serwerów komunikacyjnych Zamawiającego.</w:t>
      </w:r>
    </w:p>
    <w:p w:rsidR="00AE494A" w:rsidRDefault="00AE494A" w:rsidP="00AE494A">
      <w:pPr>
        <w:pStyle w:val="Akapitzlist"/>
        <w:spacing w:line="276" w:lineRule="auto"/>
        <w:ind w:left="1440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</w:p>
    <w:p w:rsidR="00AE494A" w:rsidRPr="00331CC9" w:rsidRDefault="00AE494A" w:rsidP="00AE494A">
      <w:pPr>
        <w:pStyle w:val="Akapitzlist"/>
        <w:spacing w:line="276" w:lineRule="auto"/>
        <w:ind w:left="1440"/>
        <w:jc w:val="both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</w:p>
    <w:p w:rsidR="00AE494A" w:rsidRPr="00BD5BD0" w:rsidRDefault="00AE494A" w:rsidP="00AE494A">
      <w:pPr>
        <w:spacing w:line="276" w:lineRule="auto"/>
        <w:jc w:val="both"/>
        <w:rPr>
          <w:rFonts w:ascii="Tahoma" w:eastAsiaTheme="minorHAnsi" w:hAnsi="Tahoma" w:cs="Tahoma"/>
          <w:b/>
          <w:bCs/>
          <w:sz w:val="21"/>
          <w:szCs w:val="21"/>
          <w:lang w:eastAsia="en-US" w:bidi="pl-PL"/>
        </w:rPr>
      </w:pPr>
      <w:r w:rsidRPr="00BD5BD0">
        <w:rPr>
          <w:rFonts w:ascii="Tahoma" w:eastAsiaTheme="minorHAnsi" w:hAnsi="Tahoma" w:cs="Tahoma"/>
          <w:b/>
          <w:bCs/>
          <w:sz w:val="21"/>
          <w:szCs w:val="21"/>
          <w:lang w:eastAsia="en-US" w:bidi="pl-PL"/>
        </w:rPr>
        <w:t xml:space="preserve">Wszystkie elementy rozwiązania tj. telefon IP typ 1 i telefon IP typ 2, muszą pochodzić od jednego producenta oraz być objęte wspólną gwarancją i naprawą serwisową świadczoną przez producenta, jak również posiadać wymagane licencje umożliwiające sprawne funkcjonowanie przedmiotowych telefonów, w obecnie użytkowanym przez Zamawiającego środowisku Cisco </w:t>
      </w:r>
      <w:proofErr w:type="spellStart"/>
      <w:r w:rsidRPr="00BD5BD0">
        <w:rPr>
          <w:rFonts w:ascii="Tahoma" w:eastAsiaTheme="minorHAnsi" w:hAnsi="Tahoma" w:cs="Tahoma"/>
          <w:b/>
          <w:bCs/>
          <w:sz w:val="21"/>
          <w:szCs w:val="21"/>
          <w:lang w:eastAsia="en-US" w:bidi="pl-PL"/>
        </w:rPr>
        <w:t>Unified</w:t>
      </w:r>
      <w:proofErr w:type="spellEnd"/>
      <w:r w:rsidRPr="00BD5BD0">
        <w:rPr>
          <w:rFonts w:ascii="Tahoma" w:eastAsiaTheme="minorHAnsi" w:hAnsi="Tahoma" w:cs="Tahoma"/>
          <w:b/>
          <w:bCs/>
          <w:sz w:val="21"/>
          <w:szCs w:val="21"/>
          <w:lang w:eastAsia="en-US" w:bidi="pl-PL"/>
        </w:rPr>
        <w:t xml:space="preserve"> Communications Manager w wersji 12.5.1 przez okres 36 miesięcy.</w:t>
      </w:r>
    </w:p>
    <w:p w:rsidR="00AE494A" w:rsidRDefault="00AE494A" w:rsidP="00AE494A">
      <w:pPr>
        <w:spacing w:after="160" w:line="259" w:lineRule="auto"/>
        <w:rPr>
          <w:rFonts w:ascii="Tahoma" w:eastAsiaTheme="minorHAnsi" w:hAnsi="Tahoma" w:cs="Tahoma"/>
          <w:bCs/>
          <w:sz w:val="21"/>
          <w:szCs w:val="21"/>
          <w:lang w:eastAsia="en-US" w:bidi="pl-PL"/>
        </w:rPr>
      </w:pPr>
    </w:p>
    <w:p w:rsidR="00AE494A" w:rsidRPr="002731C5" w:rsidRDefault="00AE494A" w:rsidP="00AE494A">
      <w:pPr>
        <w:pStyle w:val="Style68"/>
        <w:keepNext/>
        <w:keepLines/>
        <w:numPr>
          <w:ilvl w:val="0"/>
          <w:numId w:val="20"/>
        </w:numPr>
        <w:shd w:val="clear" w:color="auto" w:fill="auto"/>
        <w:tabs>
          <w:tab w:val="left" w:pos="375"/>
        </w:tabs>
        <w:spacing w:after="0" w:line="276" w:lineRule="auto"/>
        <w:rPr>
          <w:rFonts w:ascii="Tahoma" w:hAnsi="Tahoma" w:cs="Tahoma"/>
          <w:sz w:val="28"/>
          <w:szCs w:val="28"/>
        </w:rPr>
      </w:pPr>
      <w:bookmarkStart w:id="2" w:name="bookmark29"/>
      <w:r w:rsidRPr="002731C5">
        <w:rPr>
          <w:rFonts w:ascii="Tahoma" w:hAnsi="Tahoma" w:cs="Tahoma"/>
          <w:sz w:val="28"/>
          <w:szCs w:val="28"/>
        </w:rPr>
        <w:t>Wymagania gwarancyjne</w:t>
      </w:r>
      <w:bookmarkEnd w:id="2"/>
    </w:p>
    <w:p w:rsidR="00AE494A" w:rsidRPr="00F227BB" w:rsidRDefault="00AE494A" w:rsidP="00AE494A">
      <w:pPr>
        <w:pStyle w:val="Style68"/>
        <w:keepNext/>
        <w:keepLines/>
        <w:shd w:val="clear" w:color="auto" w:fill="auto"/>
        <w:tabs>
          <w:tab w:val="left" w:pos="375"/>
        </w:tabs>
        <w:spacing w:after="0" w:line="276" w:lineRule="auto"/>
        <w:ind w:firstLine="0"/>
        <w:rPr>
          <w:rFonts w:ascii="Tahoma" w:hAnsi="Tahoma" w:cs="Tahoma"/>
          <w:b w:val="0"/>
          <w:sz w:val="14"/>
          <w:szCs w:val="28"/>
        </w:rPr>
      </w:pPr>
    </w:p>
    <w:p w:rsidR="00AE494A" w:rsidRPr="008C267A" w:rsidRDefault="00AE494A" w:rsidP="00AE494A">
      <w:pPr>
        <w:pStyle w:val="Style68"/>
        <w:keepNext/>
        <w:keepLines/>
        <w:numPr>
          <w:ilvl w:val="0"/>
          <w:numId w:val="21"/>
        </w:numPr>
        <w:shd w:val="clear" w:color="auto" w:fill="auto"/>
        <w:tabs>
          <w:tab w:val="left" w:pos="375"/>
        </w:tabs>
        <w:spacing w:after="0" w:line="276" w:lineRule="auto"/>
        <w:rPr>
          <w:rFonts w:ascii="Tahoma" w:hAnsi="Tahoma" w:cs="Tahoma"/>
          <w:b w:val="0"/>
          <w:sz w:val="22"/>
          <w:szCs w:val="28"/>
        </w:rPr>
      </w:pPr>
      <w:r w:rsidRPr="008C267A">
        <w:rPr>
          <w:rFonts w:ascii="Tahoma" w:hAnsi="Tahoma" w:cs="Tahoma"/>
          <w:b w:val="0"/>
          <w:sz w:val="21"/>
          <w:szCs w:val="21"/>
        </w:rPr>
        <w:t>Zamawiający wymaga, aby oferowany przedmiot zamówienia w całości objęty był gwarancją Wykonawcy przez min. 36 miesięcy od daty podpisania przez Strony Protokołu Odbioru Dostawy dostarczonych urządzeń.</w:t>
      </w:r>
    </w:p>
    <w:p w:rsidR="00AE494A" w:rsidRPr="00724C49" w:rsidRDefault="00AE494A" w:rsidP="00AE494A">
      <w:pPr>
        <w:pStyle w:val="Style68"/>
        <w:keepNext/>
        <w:keepLines/>
        <w:numPr>
          <w:ilvl w:val="0"/>
          <w:numId w:val="21"/>
        </w:numPr>
        <w:shd w:val="clear" w:color="auto" w:fill="auto"/>
        <w:tabs>
          <w:tab w:val="left" w:pos="375"/>
        </w:tabs>
        <w:spacing w:after="0" w:line="276" w:lineRule="auto"/>
        <w:rPr>
          <w:rFonts w:ascii="Tahoma" w:hAnsi="Tahoma" w:cs="Tahoma"/>
          <w:b w:val="0"/>
          <w:sz w:val="22"/>
          <w:szCs w:val="28"/>
        </w:rPr>
      </w:pPr>
      <w:r w:rsidRPr="008C267A">
        <w:rPr>
          <w:rFonts w:ascii="Tahoma" w:hAnsi="Tahoma" w:cs="Tahoma"/>
          <w:b w:val="0"/>
          <w:sz w:val="21"/>
          <w:szCs w:val="21"/>
        </w:rPr>
        <w:t>Zamawiający wymaga, aby serwis przedmiotu umowy był realizowany przez Producenta oferowanego sprzętu lub autoryzowanego partnera serwisowego Producenta sprzętu.</w:t>
      </w:r>
    </w:p>
    <w:p w:rsidR="00AE494A" w:rsidRPr="007158BB" w:rsidRDefault="00AE494A" w:rsidP="00AE494A">
      <w:pPr>
        <w:pStyle w:val="Style68"/>
        <w:keepNext/>
        <w:keepLines/>
        <w:numPr>
          <w:ilvl w:val="0"/>
          <w:numId w:val="21"/>
        </w:numPr>
        <w:shd w:val="clear" w:color="auto" w:fill="auto"/>
        <w:tabs>
          <w:tab w:val="left" w:pos="375"/>
        </w:tabs>
        <w:spacing w:after="0" w:line="276" w:lineRule="auto"/>
        <w:rPr>
          <w:rFonts w:ascii="Tahoma" w:hAnsi="Tahoma" w:cs="Tahoma"/>
          <w:b w:val="0"/>
          <w:sz w:val="22"/>
          <w:szCs w:val="28"/>
        </w:rPr>
      </w:pPr>
      <w:r w:rsidRPr="00724C49">
        <w:rPr>
          <w:rFonts w:ascii="Tahoma" w:hAnsi="Tahoma" w:cs="Tahoma"/>
          <w:b w:val="0"/>
          <w:sz w:val="21"/>
          <w:szCs w:val="21"/>
        </w:rPr>
        <w:t>Gwarancja obejmuje co najmniej:</w:t>
      </w:r>
    </w:p>
    <w:p w:rsidR="00AE494A" w:rsidRPr="007158BB" w:rsidRDefault="00AE494A" w:rsidP="00AE494A">
      <w:pPr>
        <w:pStyle w:val="Style68"/>
        <w:keepNext/>
        <w:keepLines/>
        <w:numPr>
          <w:ilvl w:val="0"/>
          <w:numId w:val="25"/>
        </w:numPr>
        <w:shd w:val="clear" w:color="auto" w:fill="auto"/>
        <w:tabs>
          <w:tab w:val="left" w:pos="375"/>
        </w:tabs>
        <w:spacing w:after="0" w:line="276" w:lineRule="auto"/>
        <w:ind w:left="1418"/>
        <w:rPr>
          <w:rFonts w:ascii="Tahoma" w:hAnsi="Tahoma" w:cs="Tahoma"/>
          <w:b w:val="0"/>
          <w:sz w:val="22"/>
          <w:szCs w:val="28"/>
        </w:rPr>
      </w:pPr>
      <w:r w:rsidRPr="007158BB">
        <w:rPr>
          <w:rFonts w:ascii="Tahoma" w:hAnsi="Tahoma" w:cs="Tahoma"/>
          <w:b w:val="0"/>
          <w:sz w:val="21"/>
          <w:szCs w:val="21"/>
        </w:rPr>
        <w:t>wady materiałowe i konstrukcyjne, a także niespełnienie deklarowanych przez producenta parametrów i/lub funkcji użytkowych;</w:t>
      </w:r>
    </w:p>
    <w:p w:rsidR="00AE494A" w:rsidRPr="007158BB" w:rsidRDefault="00AE494A" w:rsidP="00AE494A">
      <w:pPr>
        <w:pStyle w:val="Style68"/>
        <w:keepNext/>
        <w:keepLines/>
        <w:numPr>
          <w:ilvl w:val="0"/>
          <w:numId w:val="25"/>
        </w:numPr>
        <w:shd w:val="clear" w:color="auto" w:fill="auto"/>
        <w:tabs>
          <w:tab w:val="left" w:pos="375"/>
        </w:tabs>
        <w:spacing w:after="0" w:line="276" w:lineRule="auto"/>
        <w:ind w:left="1418"/>
        <w:rPr>
          <w:rFonts w:ascii="Tahoma" w:hAnsi="Tahoma" w:cs="Tahoma"/>
          <w:b w:val="0"/>
          <w:sz w:val="22"/>
          <w:szCs w:val="28"/>
        </w:rPr>
      </w:pPr>
      <w:r w:rsidRPr="007158BB">
        <w:rPr>
          <w:rFonts w:ascii="Tahoma" w:hAnsi="Tahoma" w:cs="Tahoma"/>
          <w:b w:val="0"/>
          <w:sz w:val="21"/>
          <w:szCs w:val="21"/>
        </w:rPr>
        <w:t>naprawę wykrytych uszkodzeń, w tym wymianę uszkodzonych podzespołów na nowe;</w:t>
      </w:r>
    </w:p>
    <w:p w:rsidR="00AE494A" w:rsidRPr="007158BB" w:rsidRDefault="00AE494A" w:rsidP="00AE494A">
      <w:pPr>
        <w:pStyle w:val="Style68"/>
        <w:keepNext/>
        <w:keepLines/>
        <w:numPr>
          <w:ilvl w:val="0"/>
          <w:numId w:val="25"/>
        </w:numPr>
        <w:shd w:val="clear" w:color="auto" w:fill="auto"/>
        <w:tabs>
          <w:tab w:val="left" w:pos="375"/>
        </w:tabs>
        <w:spacing w:after="0" w:line="276" w:lineRule="auto"/>
        <w:ind w:left="1418"/>
        <w:rPr>
          <w:rFonts w:ascii="Tahoma" w:hAnsi="Tahoma" w:cs="Tahoma"/>
          <w:b w:val="0"/>
          <w:sz w:val="22"/>
          <w:szCs w:val="28"/>
        </w:rPr>
      </w:pPr>
      <w:r w:rsidRPr="007158BB">
        <w:rPr>
          <w:rFonts w:ascii="Tahoma" w:hAnsi="Tahoma" w:cs="Tahoma"/>
          <w:b w:val="0"/>
          <w:sz w:val="21"/>
          <w:szCs w:val="21"/>
        </w:rPr>
        <w:t>usuwanie wykrytych usterek i błędów funkcjonalnych w działaniu urządzeń;</w:t>
      </w:r>
    </w:p>
    <w:p w:rsidR="00AE494A" w:rsidRDefault="00AE494A" w:rsidP="00AE494A">
      <w:pPr>
        <w:pStyle w:val="Style70"/>
        <w:numPr>
          <w:ilvl w:val="0"/>
          <w:numId w:val="22"/>
        </w:numPr>
        <w:shd w:val="clear" w:color="auto" w:fill="auto"/>
        <w:spacing w:before="0" w:line="276" w:lineRule="auto"/>
        <w:rPr>
          <w:rFonts w:ascii="Tahoma" w:hAnsi="Tahoma" w:cs="Tahoma"/>
          <w:sz w:val="21"/>
          <w:szCs w:val="21"/>
        </w:rPr>
      </w:pPr>
      <w:r w:rsidRPr="00724C49">
        <w:rPr>
          <w:rFonts w:ascii="Tahoma" w:hAnsi="Tahoma" w:cs="Tahoma"/>
          <w:sz w:val="21"/>
          <w:szCs w:val="21"/>
        </w:rPr>
        <w:t xml:space="preserve">Zamawiający może wysyłać Wykonawcy zgłoszenia gwarancyjne przez całą dobę, przez </w:t>
      </w:r>
      <w:r>
        <w:rPr>
          <w:rFonts w:ascii="Tahoma" w:hAnsi="Tahoma" w:cs="Tahoma"/>
          <w:sz w:val="21"/>
          <w:szCs w:val="21"/>
        </w:rPr>
        <w:br/>
      </w:r>
      <w:r w:rsidRPr="00724C49">
        <w:rPr>
          <w:rFonts w:ascii="Tahoma" w:hAnsi="Tahoma" w:cs="Tahoma"/>
          <w:sz w:val="21"/>
          <w:szCs w:val="21"/>
        </w:rPr>
        <w:t>7 dni w tygodniu. Wykonawca zobowiązuje się do przyjmowania tych zgłoszeń, do realizacji w dni robocze w godzinach od 08:00 do 16:00 oraz dokonania niezwłocznego potwierdzenia przyjęcia otrzymanego zgłoszenia na adres poczty elektronicznej z którego zostało wysłane zgłoszenie gwarancyjne, podając w nim datę i godzinę przyjęcia zgłoszenia oraz termin planowanego przystąpienia do podjęcia stosownego działania.</w:t>
      </w:r>
    </w:p>
    <w:p w:rsidR="00AE494A" w:rsidRDefault="00AE494A" w:rsidP="00AE494A">
      <w:pPr>
        <w:pStyle w:val="Style70"/>
        <w:numPr>
          <w:ilvl w:val="0"/>
          <w:numId w:val="22"/>
        </w:numPr>
        <w:shd w:val="clear" w:color="auto" w:fill="auto"/>
        <w:spacing w:before="0" w:line="276" w:lineRule="auto"/>
        <w:rPr>
          <w:rFonts w:ascii="Tahoma" w:hAnsi="Tahoma" w:cs="Tahoma"/>
          <w:sz w:val="21"/>
          <w:szCs w:val="21"/>
        </w:rPr>
      </w:pPr>
      <w:r w:rsidRPr="00724C49">
        <w:rPr>
          <w:rFonts w:ascii="Tahoma" w:hAnsi="Tahoma" w:cs="Tahoma"/>
          <w:sz w:val="21"/>
          <w:szCs w:val="21"/>
        </w:rPr>
        <w:t>Pisemny Raport z naprawy będzie podpisywany po każdej naprawie gwarancyjnej.</w:t>
      </w:r>
    </w:p>
    <w:p w:rsidR="00AE494A" w:rsidRDefault="00AE494A" w:rsidP="00AE494A">
      <w:pPr>
        <w:pStyle w:val="Style70"/>
        <w:numPr>
          <w:ilvl w:val="0"/>
          <w:numId w:val="22"/>
        </w:numPr>
        <w:shd w:val="clear" w:color="auto" w:fill="auto"/>
        <w:spacing w:before="0" w:line="276" w:lineRule="auto"/>
        <w:rPr>
          <w:rFonts w:ascii="Tahoma" w:hAnsi="Tahoma" w:cs="Tahoma"/>
          <w:sz w:val="21"/>
          <w:szCs w:val="21"/>
        </w:rPr>
      </w:pPr>
      <w:r w:rsidRPr="00724C49">
        <w:rPr>
          <w:rFonts w:ascii="Tahoma" w:hAnsi="Tahoma" w:cs="Tahoma"/>
          <w:sz w:val="21"/>
          <w:szCs w:val="21"/>
        </w:rPr>
        <w:t xml:space="preserve">Zamawiający wymaga, aby świadczenie gwarancji było objęte jednym centrum obsługi zgłoszeń serwisowych. Wymagane formy zgłaszania awarii to poczta elektroniczna </w:t>
      </w:r>
      <w:r w:rsidRPr="00724C49">
        <w:rPr>
          <w:rFonts w:ascii="Tahoma" w:hAnsi="Tahoma" w:cs="Tahoma"/>
          <w:sz w:val="21"/>
          <w:szCs w:val="21"/>
        </w:rPr>
        <w:br/>
        <w:t>(e-mail). Stosowne dane kontaktowe centrum serwisowego (email, tel. kontaktowy) zostaną zawarte w umowie. O każdej zmianie adresu poczty elektronicznej Wykonawca zobowiązany jest niezwłocznie powiadomić Zamawiającego w formie pisemnej.</w:t>
      </w:r>
    </w:p>
    <w:p w:rsidR="00AE494A" w:rsidRDefault="00AE494A" w:rsidP="00AE494A">
      <w:pPr>
        <w:pStyle w:val="Style70"/>
        <w:numPr>
          <w:ilvl w:val="0"/>
          <w:numId w:val="22"/>
        </w:numPr>
        <w:shd w:val="clear" w:color="auto" w:fill="auto"/>
        <w:spacing w:before="0" w:line="276" w:lineRule="auto"/>
        <w:rPr>
          <w:rFonts w:ascii="Tahoma" w:hAnsi="Tahoma" w:cs="Tahoma"/>
          <w:sz w:val="21"/>
          <w:szCs w:val="21"/>
        </w:rPr>
      </w:pPr>
      <w:r w:rsidRPr="00724C49">
        <w:rPr>
          <w:rFonts w:ascii="Tahoma" w:hAnsi="Tahoma" w:cs="Tahoma"/>
          <w:sz w:val="21"/>
          <w:szCs w:val="21"/>
        </w:rPr>
        <w:t>Wykonawca jest zobowiązany do odbioru uszkodzonych urządzeń z miejsca dostawy i do dostarczenia naprawionych/wymienianych urządzeń do miejsca dostawy sprzętu na własny koszt i ryzyko. Wykonawca pokrywa także koszty transportu elementów Infrastruktury oraz koszty dojazdu serwisu w przypadku konieczności wymiany lub naprawy w miejscu dostawy.</w:t>
      </w:r>
    </w:p>
    <w:p w:rsidR="00AE494A" w:rsidRDefault="00AE494A" w:rsidP="00AE494A">
      <w:pPr>
        <w:pStyle w:val="Style70"/>
        <w:numPr>
          <w:ilvl w:val="0"/>
          <w:numId w:val="22"/>
        </w:numPr>
        <w:shd w:val="clear" w:color="auto" w:fill="auto"/>
        <w:spacing w:before="0" w:line="276" w:lineRule="auto"/>
        <w:rPr>
          <w:rFonts w:ascii="Tahoma" w:hAnsi="Tahoma" w:cs="Tahoma"/>
          <w:sz w:val="21"/>
          <w:szCs w:val="21"/>
        </w:rPr>
      </w:pPr>
      <w:r w:rsidRPr="00724C49">
        <w:rPr>
          <w:rFonts w:ascii="Tahoma" w:hAnsi="Tahoma" w:cs="Tahoma"/>
          <w:sz w:val="21"/>
          <w:szCs w:val="21"/>
        </w:rPr>
        <w:t xml:space="preserve"> Czas naprawy nie może być dłuższy niż 14 dni od momentu wysłania zgłoszenia gwarancyjnego. Jeśli zgłoszenie zostało dokonane w godzinach 16.00 - 8.00 lub w dzień wolny od pracy Wykonawca musi potwierdzić przyjęcia zgłoszenia do realizacji niezwłocznie w pierwszy przypadający dzień roboczy. Za dzień wykonania naprawy gwarancyjnej Zamawiający uzna dzień podpisania przez upoważnionych przedstawicieli Zamawiającego </w:t>
      </w:r>
      <w:r>
        <w:rPr>
          <w:rFonts w:ascii="Tahoma" w:hAnsi="Tahoma" w:cs="Tahoma"/>
          <w:sz w:val="21"/>
          <w:szCs w:val="21"/>
        </w:rPr>
        <w:br/>
      </w:r>
      <w:r w:rsidRPr="00724C49">
        <w:rPr>
          <w:rFonts w:ascii="Tahoma" w:hAnsi="Tahoma" w:cs="Tahoma"/>
          <w:sz w:val="21"/>
          <w:szCs w:val="21"/>
        </w:rPr>
        <w:t>i Wykonawcy protokołu z naprawy wystawionego przez wykonawcę naprawy.</w:t>
      </w:r>
    </w:p>
    <w:p w:rsidR="00AE494A" w:rsidRDefault="00AE494A" w:rsidP="00AE494A">
      <w:pPr>
        <w:pStyle w:val="Style70"/>
        <w:numPr>
          <w:ilvl w:val="0"/>
          <w:numId w:val="22"/>
        </w:numPr>
        <w:shd w:val="clear" w:color="auto" w:fill="auto"/>
        <w:spacing w:before="0" w:line="276" w:lineRule="auto"/>
        <w:rPr>
          <w:rFonts w:ascii="Tahoma" w:hAnsi="Tahoma" w:cs="Tahoma"/>
          <w:sz w:val="21"/>
          <w:szCs w:val="21"/>
        </w:rPr>
      </w:pPr>
      <w:r w:rsidRPr="00724C49">
        <w:rPr>
          <w:rFonts w:ascii="Tahoma" w:hAnsi="Tahoma" w:cs="Tahoma"/>
          <w:sz w:val="21"/>
          <w:szCs w:val="21"/>
        </w:rPr>
        <w:t>W przypadku niedotrzymania terminu naprawy gwarancyjnej, o którym mowa w pkt. 8 Wykonawca zapłaci Zamawiającemu karę umowną za zwłokę w naprawie gwarancyjnej na zasadach określonych w Umowie. Kary nie nalicza się po upływie łącznie 180 dni w naprawie dla danego urządzenia.</w:t>
      </w:r>
    </w:p>
    <w:p w:rsidR="00AE494A" w:rsidRDefault="00AE494A" w:rsidP="00AE494A">
      <w:pPr>
        <w:pStyle w:val="Style70"/>
        <w:numPr>
          <w:ilvl w:val="0"/>
          <w:numId w:val="22"/>
        </w:numPr>
        <w:shd w:val="clear" w:color="auto" w:fill="auto"/>
        <w:spacing w:before="0" w:line="276" w:lineRule="auto"/>
        <w:rPr>
          <w:rFonts w:ascii="Tahoma" w:hAnsi="Tahoma" w:cs="Tahoma"/>
          <w:sz w:val="21"/>
          <w:szCs w:val="21"/>
        </w:rPr>
      </w:pPr>
      <w:r w:rsidRPr="00724C49">
        <w:rPr>
          <w:rFonts w:ascii="Tahoma" w:hAnsi="Tahoma" w:cs="Tahoma"/>
          <w:sz w:val="21"/>
          <w:szCs w:val="21"/>
        </w:rPr>
        <w:t xml:space="preserve">W przypadku, gdy łączny czas naprawy dla jednego urządzenia (suma wszystkich czasów napraw), licząc od dnia powiadomienia Wykonawcy o konieczności dokonania naprawy </w:t>
      </w:r>
      <w:r>
        <w:rPr>
          <w:rFonts w:ascii="Tahoma" w:hAnsi="Tahoma" w:cs="Tahoma"/>
          <w:sz w:val="21"/>
          <w:szCs w:val="21"/>
        </w:rPr>
        <w:br/>
      </w:r>
      <w:r w:rsidRPr="00724C49">
        <w:rPr>
          <w:rFonts w:ascii="Tahoma" w:hAnsi="Tahoma" w:cs="Tahoma"/>
          <w:sz w:val="21"/>
          <w:szCs w:val="21"/>
        </w:rPr>
        <w:t xml:space="preserve">(e-mailem), przekroczy 180 dni, Wykonawca dostarczy na własny koszt nowe urządzenie </w:t>
      </w:r>
      <w:r>
        <w:rPr>
          <w:rFonts w:ascii="Tahoma" w:hAnsi="Tahoma" w:cs="Tahoma"/>
          <w:sz w:val="21"/>
          <w:szCs w:val="21"/>
        </w:rPr>
        <w:br/>
      </w:r>
      <w:r w:rsidRPr="00724C49">
        <w:rPr>
          <w:rFonts w:ascii="Tahoma" w:hAnsi="Tahoma" w:cs="Tahoma"/>
          <w:sz w:val="21"/>
          <w:szCs w:val="21"/>
        </w:rPr>
        <w:t>o parametrach co najmniej takich samych, jak urządzenie naprawiane.</w:t>
      </w:r>
    </w:p>
    <w:p w:rsidR="00AE494A" w:rsidRDefault="00AE494A" w:rsidP="00AE494A">
      <w:pPr>
        <w:pStyle w:val="Style70"/>
        <w:numPr>
          <w:ilvl w:val="0"/>
          <w:numId w:val="22"/>
        </w:numPr>
        <w:shd w:val="clear" w:color="auto" w:fill="auto"/>
        <w:spacing w:before="0" w:line="276" w:lineRule="auto"/>
        <w:rPr>
          <w:rFonts w:ascii="Tahoma" w:hAnsi="Tahoma" w:cs="Tahoma"/>
          <w:sz w:val="21"/>
          <w:szCs w:val="21"/>
        </w:rPr>
      </w:pPr>
      <w:r w:rsidRPr="00724C49">
        <w:rPr>
          <w:rFonts w:ascii="Tahoma" w:hAnsi="Tahoma" w:cs="Tahoma"/>
          <w:sz w:val="21"/>
          <w:szCs w:val="21"/>
        </w:rPr>
        <w:t>Nowe urządzenie musi być dostarczone do Zamawiającego najpóźniej w ciągu 14 dni od upływu terminu określonego w pkt. 10.</w:t>
      </w:r>
    </w:p>
    <w:p w:rsidR="00AE494A" w:rsidRDefault="00AE494A" w:rsidP="00AE494A">
      <w:pPr>
        <w:pStyle w:val="Style70"/>
        <w:numPr>
          <w:ilvl w:val="0"/>
          <w:numId w:val="22"/>
        </w:numPr>
        <w:shd w:val="clear" w:color="auto" w:fill="auto"/>
        <w:spacing w:before="0" w:line="276" w:lineRule="auto"/>
        <w:rPr>
          <w:rFonts w:ascii="Tahoma" w:hAnsi="Tahoma" w:cs="Tahoma"/>
          <w:sz w:val="21"/>
          <w:szCs w:val="21"/>
        </w:rPr>
      </w:pPr>
      <w:r w:rsidRPr="00724C49">
        <w:rPr>
          <w:rFonts w:ascii="Tahoma" w:hAnsi="Tahoma" w:cs="Tahoma"/>
          <w:sz w:val="21"/>
          <w:szCs w:val="21"/>
        </w:rPr>
        <w:t xml:space="preserve">W przypadku niedotrzymania terminu dostawy nowego urządzenia, o którym mowa </w:t>
      </w:r>
      <w:r w:rsidRPr="00724C49">
        <w:rPr>
          <w:rFonts w:ascii="Tahoma" w:hAnsi="Tahoma" w:cs="Tahoma"/>
          <w:sz w:val="21"/>
          <w:szCs w:val="21"/>
        </w:rPr>
        <w:br/>
        <w:t xml:space="preserve">w pkt. 11 Wykonawca zapłaci Zamawiającemu karę umowną na zasadach określonych </w:t>
      </w:r>
      <w:r w:rsidRPr="00724C49">
        <w:rPr>
          <w:rFonts w:ascii="Tahoma" w:hAnsi="Tahoma" w:cs="Tahoma"/>
          <w:sz w:val="21"/>
          <w:szCs w:val="21"/>
        </w:rPr>
        <w:br/>
        <w:t>w Umowie dotyczących naprawy lub wymiany urządzenia.</w:t>
      </w:r>
    </w:p>
    <w:p w:rsidR="00AE494A" w:rsidRDefault="00AE494A" w:rsidP="00AE494A">
      <w:pPr>
        <w:pStyle w:val="Style70"/>
        <w:numPr>
          <w:ilvl w:val="0"/>
          <w:numId w:val="22"/>
        </w:numPr>
        <w:shd w:val="clear" w:color="auto" w:fill="auto"/>
        <w:spacing w:before="0" w:line="276" w:lineRule="auto"/>
        <w:rPr>
          <w:rFonts w:ascii="Tahoma" w:hAnsi="Tahoma" w:cs="Tahoma"/>
          <w:sz w:val="21"/>
          <w:szCs w:val="21"/>
        </w:rPr>
      </w:pPr>
      <w:r w:rsidRPr="00724C49">
        <w:rPr>
          <w:rFonts w:ascii="Tahoma" w:hAnsi="Tahoma" w:cs="Tahoma"/>
          <w:sz w:val="21"/>
          <w:szCs w:val="21"/>
        </w:rPr>
        <w:t>Gwarancja na naprawione urządzenia zostanie przedłużona o czas naprawy.</w:t>
      </w:r>
    </w:p>
    <w:p w:rsidR="00AE494A" w:rsidRDefault="00AE494A" w:rsidP="00AE494A">
      <w:pPr>
        <w:pStyle w:val="Style70"/>
        <w:numPr>
          <w:ilvl w:val="0"/>
          <w:numId w:val="22"/>
        </w:numPr>
        <w:shd w:val="clear" w:color="auto" w:fill="auto"/>
        <w:spacing w:before="0" w:line="276" w:lineRule="auto"/>
        <w:rPr>
          <w:rFonts w:ascii="Tahoma" w:hAnsi="Tahoma" w:cs="Tahoma"/>
          <w:sz w:val="21"/>
          <w:szCs w:val="21"/>
        </w:rPr>
      </w:pPr>
      <w:r w:rsidRPr="00724C49">
        <w:rPr>
          <w:rFonts w:ascii="Tahoma" w:hAnsi="Tahoma" w:cs="Tahoma"/>
          <w:sz w:val="21"/>
          <w:szCs w:val="21"/>
        </w:rPr>
        <w:t>W przypadku, gdy wadą objęte będą urządzenia, sprzęt teleinformatyczny, posiadający trwały wymienny nośnik pamięci (np. dysk twardy, karta pamięci), nośnik ten zostanie wymontowany przed przekazaniem wadliwego urządzenia, sprzętu teleinformatycznego Wykonawcy do naprawy.</w:t>
      </w:r>
    </w:p>
    <w:p w:rsidR="00AE494A" w:rsidRDefault="00AE494A" w:rsidP="00AE494A">
      <w:pPr>
        <w:pStyle w:val="Style70"/>
        <w:numPr>
          <w:ilvl w:val="0"/>
          <w:numId w:val="22"/>
        </w:numPr>
        <w:shd w:val="clear" w:color="auto" w:fill="auto"/>
        <w:spacing w:before="0" w:line="276" w:lineRule="auto"/>
        <w:rPr>
          <w:rFonts w:ascii="Tahoma" w:hAnsi="Tahoma" w:cs="Tahoma"/>
          <w:sz w:val="21"/>
          <w:szCs w:val="21"/>
        </w:rPr>
      </w:pPr>
      <w:r w:rsidRPr="00724C49">
        <w:rPr>
          <w:rFonts w:ascii="Tahoma" w:hAnsi="Tahoma" w:cs="Tahoma"/>
          <w:sz w:val="21"/>
          <w:szCs w:val="21"/>
        </w:rPr>
        <w:t>Uszkodzone i niepoprawnie działające trwałe wymienne nośniki danych (np. dyski twarde, karty pamięci, taśmy, wszelkie pamięci nieulotne) pozostają w siedzibie</w:t>
      </w:r>
      <w:r>
        <w:rPr>
          <w:rFonts w:ascii="Tahoma" w:hAnsi="Tahoma" w:cs="Tahoma"/>
          <w:sz w:val="21"/>
          <w:szCs w:val="21"/>
        </w:rPr>
        <w:t xml:space="preserve"> </w:t>
      </w:r>
      <w:r w:rsidRPr="00724C49">
        <w:rPr>
          <w:rFonts w:ascii="Tahoma" w:hAnsi="Tahoma" w:cs="Tahoma"/>
          <w:sz w:val="21"/>
          <w:szCs w:val="21"/>
        </w:rPr>
        <w:t>i własnością Zamawiającego.</w:t>
      </w:r>
    </w:p>
    <w:p w:rsidR="00AE494A" w:rsidRDefault="00AE494A" w:rsidP="00AE494A">
      <w:pPr>
        <w:pStyle w:val="Style70"/>
        <w:numPr>
          <w:ilvl w:val="0"/>
          <w:numId w:val="22"/>
        </w:numPr>
        <w:shd w:val="clear" w:color="auto" w:fill="auto"/>
        <w:spacing w:before="0" w:line="276" w:lineRule="auto"/>
        <w:rPr>
          <w:rFonts w:ascii="Tahoma" w:hAnsi="Tahoma" w:cs="Tahoma"/>
          <w:sz w:val="21"/>
          <w:szCs w:val="21"/>
        </w:rPr>
      </w:pPr>
      <w:r w:rsidRPr="00724C49">
        <w:rPr>
          <w:rFonts w:ascii="Tahoma" w:hAnsi="Tahoma" w:cs="Tahoma"/>
          <w:sz w:val="21"/>
          <w:szCs w:val="21"/>
        </w:rPr>
        <w:t xml:space="preserve">W przypadku nie wywiązywania się Wykonawcy z obowiązków gwarancyjnych wszelkie zobowiązania związane z serwisem gwarancyjnym, zostaną zrealizowane przez Producenta dostarczonych urządzeń na podstawie potwierdzających wykupionych pakietów </w:t>
      </w:r>
      <w:r>
        <w:rPr>
          <w:rFonts w:ascii="Tahoma" w:hAnsi="Tahoma" w:cs="Tahoma"/>
          <w:sz w:val="21"/>
          <w:szCs w:val="21"/>
        </w:rPr>
        <w:t>g</w:t>
      </w:r>
      <w:r w:rsidRPr="00724C49">
        <w:rPr>
          <w:rFonts w:ascii="Tahoma" w:hAnsi="Tahoma" w:cs="Tahoma"/>
          <w:sz w:val="21"/>
          <w:szCs w:val="21"/>
        </w:rPr>
        <w:t>warancyjnych i licencyjnych. Dokument potwierdzający wykupienie pakietów gwarancyjnych i licencyjnych należy dostarczyć wraz dostawą urządzeń.</w:t>
      </w:r>
    </w:p>
    <w:p w:rsidR="00275E8D" w:rsidRDefault="00275E8D">
      <w:pPr>
        <w:spacing w:after="160" w:line="259" w:lineRule="auto"/>
        <w:rPr>
          <w:rFonts w:ascii="Tahoma" w:eastAsia="Arial" w:hAnsi="Tahoma" w:cs="Tahoma"/>
          <w:sz w:val="21"/>
          <w:szCs w:val="21"/>
          <w:lang w:eastAsia="en-US"/>
        </w:rPr>
      </w:pPr>
      <w:r>
        <w:rPr>
          <w:rFonts w:ascii="Tahoma" w:hAnsi="Tahoma" w:cs="Tahoma"/>
          <w:sz w:val="21"/>
          <w:szCs w:val="21"/>
        </w:rPr>
        <w:br w:type="page"/>
      </w:r>
    </w:p>
    <w:p w:rsidR="00AE494A" w:rsidRPr="00724C49" w:rsidRDefault="00AE494A" w:rsidP="00AE494A">
      <w:pPr>
        <w:pStyle w:val="Style70"/>
        <w:shd w:val="clear" w:color="auto" w:fill="auto"/>
        <w:spacing w:before="0" w:line="276" w:lineRule="auto"/>
        <w:ind w:firstLine="0"/>
        <w:rPr>
          <w:rFonts w:ascii="Tahoma" w:hAnsi="Tahoma" w:cs="Tahoma"/>
          <w:sz w:val="21"/>
          <w:szCs w:val="21"/>
        </w:rPr>
      </w:pPr>
      <w:bookmarkStart w:id="3" w:name="_GoBack"/>
      <w:bookmarkEnd w:id="3"/>
    </w:p>
    <w:p w:rsidR="00AE494A" w:rsidRPr="00F227BB" w:rsidRDefault="00AE494A" w:rsidP="00AE494A">
      <w:pPr>
        <w:pStyle w:val="Style68"/>
        <w:keepNext/>
        <w:keepLines/>
        <w:numPr>
          <w:ilvl w:val="0"/>
          <w:numId w:val="20"/>
        </w:numPr>
        <w:shd w:val="clear" w:color="auto" w:fill="auto"/>
        <w:tabs>
          <w:tab w:val="left" w:pos="375"/>
        </w:tabs>
        <w:spacing w:after="348"/>
        <w:rPr>
          <w:rFonts w:ascii="Tahoma" w:hAnsi="Tahoma" w:cs="Tahoma"/>
          <w:sz w:val="24"/>
          <w:szCs w:val="28"/>
        </w:rPr>
      </w:pPr>
      <w:r w:rsidRPr="002731C5">
        <w:rPr>
          <w:rFonts w:ascii="Tahoma" w:hAnsi="Tahoma" w:cs="Tahoma"/>
          <w:sz w:val="28"/>
        </w:rPr>
        <w:t>Wzory formularzy</w:t>
      </w:r>
    </w:p>
    <w:p w:rsidR="00AE494A" w:rsidRPr="002731C5" w:rsidRDefault="00AE494A" w:rsidP="00AE494A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  <w:szCs w:val="21"/>
        </w:rPr>
      </w:pPr>
      <w:r w:rsidRPr="002731C5">
        <w:rPr>
          <w:rFonts w:ascii="Tahoma" w:hAnsi="Tahoma" w:cs="Tahoma"/>
          <w:b/>
          <w:sz w:val="24"/>
          <w:szCs w:val="21"/>
        </w:rPr>
        <w:t xml:space="preserve">PROTOKÓŁ ODBIORU DOSTAWY </w:t>
      </w:r>
    </w:p>
    <w:p w:rsidR="00AE494A" w:rsidRPr="007E7FF6" w:rsidRDefault="00AE494A" w:rsidP="00AE494A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1"/>
          <w:szCs w:val="21"/>
        </w:rPr>
      </w:pPr>
    </w:p>
    <w:p w:rsidR="00AE494A" w:rsidRPr="007E7FF6" w:rsidRDefault="00AE494A" w:rsidP="00AE494A">
      <w:pPr>
        <w:jc w:val="center"/>
        <w:rPr>
          <w:rFonts w:ascii="Tahoma" w:hAnsi="Tahoma" w:cs="Tahoma"/>
          <w:b/>
          <w:sz w:val="21"/>
          <w:szCs w:val="21"/>
        </w:rPr>
      </w:pPr>
    </w:p>
    <w:p w:rsidR="00AE494A" w:rsidRPr="007E7FF6" w:rsidRDefault="00AE494A" w:rsidP="00AE494A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7E7FF6">
        <w:rPr>
          <w:rFonts w:ascii="Tahoma" w:hAnsi="Tahoma" w:cs="Tahoma"/>
          <w:sz w:val="21"/>
          <w:szCs w:val="21"/>
        </w:rPr>
        <w:t>na podstawie umowy nr …………………… zawartej w dniu  …………………… pomiędzy Komendantem Bieszczadzkiego Oddziału Straży Granicznej a firmą    ………………………………………………………………</w:t>
      </w:r>
    </w:p>
    <w:p w:rsidR="00AE494A" w:rsidRPr="007E7FF6" w:rsidRDefault="00AE494A" w:rsidP="00AE494A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7E7FF6">
        <w:rPr>
          <w:rFonts w:ascii="Tahoma" w:hAnsi="Tahoma" w:cs="Tahoma"/>
          <w:sz w:val="21"/>
          <w:szCs w:val="21"/>
        </w:rPr>
        <w:t>………………………………………………………</w:t>
      </w:r>
      <w:r>
        <w:rPr>
          <w:rFonts w:ascii="Tahoma" w:hAnsi="Tahoma" w:cs="Tahoma"/>
          <w:sz w:val="21"/>
          <w:szCs w:val="21"/>
        </w:rPr>
        <w:t>…………………………………………………………………………………..</w:t>
      </w:r>
    </w:p>
    <w:p w:rsidR="00AE494A" w:rsidRPr="007E7FF6" w:rsidRDefault="00AE494A" w:rsidP="00AE494A">
      <w:pPr>
        <w:tabs>
          <w:tab w:val="left" w:pos="9000"/>
        </w:tabs>
        <w:autoSpaceDE w:val="0"/>
        <w:autoSpaceDN w:val="0"/>
        <w:adjustRightInd w:val="0"/>
        <w:ind w:right="72"/>
        <w:jc w:val="both"/>
        <w:rPr>
          <w:rFonts w:ascii="Tahoma" w:eastAsia="Calibri" w:hAnsi="Tahoma" w:cs="Tahoma"/>
          <w:sz w:val="21"/>
          <w:szCs w:val="21"/>
        </w:rPr>
      </w:pPr>
      <w:r w:rsidRPr="007E7FF6">
        <w:rPr>
          <w:rFonts w:ascii="Tahoma" w:eastAsia="Calibri" w:hAnsi="Tahoma" w:cs="Tahoma"/>
          <w:sz w:val="21"/>
          <w:szCs w:val="21"/>
        </w:rPr>
        <w:t>Miejsce i data wystawienia protokołu: ……………………………………………………</w:t>
      </w:r>
    </w:p>
    <w:p w:rsidR="00AE494A" w:rsidRPr="007E7FF6" w:rsidRDefault="00AE494A" w:rsidP="00AE494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:rsidR="00AE494A" w:rsidRPr="007E7FF6" w:rsidRDefault="00AE494A" w:rsidP="00AE494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7E7FF6">
        <w:rPr>
          <w:rFonts w:ascii="Tahoma" w:hAnsi="Tahoma" w:cs="Tahoma"/>
          <w:sz w:val="21"/>
          <w:szCs w:val="21"/>
        </w:rPr>
        <w:t>Wykonawca ………………………………………………………………………… oświadcza, iż przedmiot Umowy ………………………………………………………</w:t>
      </w:r>
      <w:r>
        <w:rPr>
          <w:rFonts w:ascii="Tahoma" w:hAnsi="Tahoma" w:cs="Tahoma"/>
          <w:sz w:val="21"/>
          <w:szCs w:val="21"/>
        </w:rPr>
        <w:t>…………………………………………………………………………………..</w:t>
      </w:r>
    </w:p>
    <w:p w:rsidR="00AE494A" w:rsidRPr="007E7FF6" w:rsidRDefault="00AE494A" w:rsidP="00AE494A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7E7FF6">
        <w:rPr>
          <w:rFonts w:ascii="Tahoma" w:hAnsi="Tahoma" w:cs="Tahoma"/>
          <w:sz w:val="21"/>
          <w:szCs w:val="21"/>
        </w:rPr>
        <w:t xml:space="preserve"> został zrealizowany. W związku z powyższym przedstawiamy do akceptacji niniejszy Protokół Odbioru Dostawy.</w:t>
      </w:r>
    </w:p>
    <w:p w:rsidR="00AE494A" w:rsidRPr="006E58DF" w:rsidRDefault="00AE494A" w:rsidP="00AE494A">
      <w:pPr>
        <w:autoSpaceDE w:val="0"/>
        <w:autoSpaceDN w:val="0"/>
        <w:adjustRightInd w:val="0"/>
        <w:jc w:val="both"/>
        <w:rPr>
          <w:rFonts w:ascii="Tahoma" w:hAnsi="Tahoma" w:cs="Tahoma"/>
          <w:sz w:val="8"/>
          <w:szCs w:val="21"/>
        </w:rPr>
      </w:pPr>
    </w:p>
    <w:p w:rsidR="00AE494A" w:rsidRPr="007E7FF6" w:rsidRDefault="00AE494A" w:rsidP="00AE494A">
      <w:pPr>
        <w:numPr>
          <w:ilvl w:val="0"/>
          <w:numId w:val="24"/>
        </w:numPr>
        <w:tabs>
          <w:tab w:val="left" w:pos="355"/>
        </w:tabs>
        <w:autoSpaceDE w:val="0"/>
        <w:autoSpaceDN w:val="0"/>
        <w:adjustRightInd w:val="0"/>
        <w:ind w:hanging="720"/>
        <w:jc w:val="both"/>
        <w:rPr>
          <w:rFonts w:ascii="Tahoma" w:eastAsia="Calibri" w:hAnsi="Tahoma" w:cs="Tahoma"/>
          <w:sz w:val="21"/>
          <w:szCs w:val="21"/>
        </w:rPr>
      </w:pPr>
      <w:r w:rsidRPr="007E7FF6">
        <w:rPr>
          <w:rFonts w:ascii="Tahoma" w:eastAsia="Calibri" w:hAnsi="Tahoma" w:cs="Tahoma"/>
          <w:sz w:val="21"/>
          <w:szCs w:val="21"/>
        </w:rPr>
        <w:t>Wykaz dostarczonych urządzeń:</w:t>
      </w:r>
    </w:p>
    <w:p w:rsidR="00AE494A" w:rsidRPr="006E58DF" w:rsidRDefault="00AE494A" w:rsidP="00AE494A">
      <w:pPr>
        <w:tabs>
          <w:tab w:val="left" w:pos="355"/>
        </w:tabs>
        <w:autoSpaceDE w:val="0"/>
        <w:autoSpaceDN w:val="0"/>
        <w:adjustRightInd w:val="0"/>
        <w:ind w:left="720"/>
        <w:jc w:val="both"/>
        <w:rPr>
          <w:rFonts w:ascii="Tahoma" w:eastAsia="Calibri" w:hAnsi="Tahoma" w:cs="Tahoma"/>
          <w:sz w:val="8"/>
          <w:szCs w:val="21"/>
        </w:rPr>
      </w:pPr>
    </w:p>
    <w:tbl>
      <w:tblPr>
        <w:tblW w:w="94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3119"/>
        <w:gridCol w:w="1984"/>
        <w:gridCol w:w="1442"/>
        <w:gridCol w:w="1511"/>
        <w:gridCol w:w="865"/>
      </w:tblGrid>
      <w:tr w:rsidR="00AE494A" w:rsidRPr="007E7FF6" w:rsidTr="006B28DD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4A" w:rsidRPr="007E7FF6" w:rsidRDefault="00AE494A" w:rsidP="006B28D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E7FF6">
              <w:rPr>
                <w:rFonts w:ascii="Tahoma" w:hAnsi="Tahoma" w:cs="Tahoma"/>
                <w:sz w:val="21"/>
                <w:szCs w:val="21"/>
              </w:rPr>
              <w:t>Lp.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4A" w:rsidRPr="007E7FF6" w:rsidRDefault="00AE494A" w:rsidP="006B28D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E7FF6">
              <w:rPr>
                <w:rFonts w:ascii="Tahoma" w:hAnsi="Tahoma" w:cs="Tahoma"/>
                <w:sz w:val="21"/>
                <w:szCs w:val="21"/>
              </w:rPr>
              <w:t>Nazwa urządzenia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4A" w:rsidRPr="007E7FF6" w:rsidRDefault="00AE494A" w:rsidP="006B28D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E7FF6">
              <w:rPr>
                <w:rFonts w:ascii="Tahoma" w:hAnsi="Tahoma" w:cs="Tahoma"/>
                <w:sz w:val="21"/>
                <w:szCs w:val="21"/>
              </w:rPr>
              <w:t>Model/Typ/Symbol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4A" w:rsidRPr="009843E6" w:rsidRDefault="00AE494A" w:rsidP="006B28D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21"/>
                <w:szCs w:val="21"/>
              </w:rPr>
            </w:pPr>
            <w:r w:rsidRPr="006E58DF">
              <w:rPr>
                <w:rFonts w:ascii="Tahoma" w:hAnsi="Tahoma" w:cs="Tahoma"/>
                <w:sz w:val="21"/>
                <w:szCs w:val="21"/>
              </w:rPr>
              <w:t>Licencja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4A" w:rsidRPr="007E7FF6" w:rsidRDefault="00AE494A" w:rsidP="006B28D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E7FF6">
              <w:rPr>
                <w:rFonts w:ascii="Tahoma" w:hAnsi="Tahoma" w:cs="Tahoma"/>
                <w:sz w:val="21"/>
                <w:szCs w:val="21"/>
              </w:rPr>
              <w:t>Jednostka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4A" w:rsidRPr="007E7FF6" w:rsidRDefault="00AE494A" w:rsidP="006B28D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E7FF6">
              <w:rPr>
                <w:rFonts w:ascii="Tahoma" w:hAnsi="Tahoma" w:cs="Tahoma"/>
                <w:sz w:val="21"/>
                <w:szCs w:val="21"/>
              </w:rPr>
              <w:t>Ilość</w:t>
            </w:r>
          </w:p>
        </w:tc>
      </w:tr>
      <w:tr w:rsidR="00AE494A" w:rsidRPr="007E7FF6" w:rsidTr="006B28DD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4A" w:rsidRPr="007E7FF6" w:rsidRDefault="00AE494A" w:rsidP="006B28D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4A" w:rsidRPr="007E7FF6" w:rsidRDefault="00AE494A" w:rsidP="006B28D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4A" w:rsidRPr="007E7FF6" w:rsidRDefault="00AE494A" w:rsidP="006B28D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4A" w:rsidRPr="009843E6" w:rsidRDefault="00AE494A" w:rsidP="006B28D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FF0000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4A" w:rsidRPr="007E7FF6" w:rsidRDefault="00AE494A" w:rsidP="006B28D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4A" w:rsidRPr="007E7FF6" w:rsidRDefault="00AE494A" w:rsidP="006B28D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AE494A" w:rsidRPr="007E7FF6" w:rsidTr="006B28DD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4A" w:rsidRPr="007E7FF6" w:rsidRDefault="00AE494A" w:rsidP="006B28D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4A" w:rsidRPr="007E7FF6" w:rsidRDefault="00AE494A" w:rsidP="006B28D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4A" w:rsidRPr="007E7FF6" w:rsidRDefault="00AE494A" w:rsidP="006B28D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4A" w:rsidRPr="009843E6" w:rsidRDefault="00AE494A" w:rsidP="006B28D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FF0000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4A" w:rsidRPr="007E7FF6" w:rsidRDefault="00AE494A" w:rsidP="006B28D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4A" w:rsidRPr="007E7FF6" w:rsidRDefault="00AE494A" w:rsidP="006B28D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:rsidR="00AE494A" w:rsidRPr="006E58DF" w:rsidRDefault="00AE494A" w:rsidP="00AE494A">
      <w:pPr>
        <w:tabs>
          <w:tab w:val="left" w:pos="355"/>
        </w:tabs>
        <w:autoSpaceDE w:val="0"/>
        <w:autoSpaceDN w:val="0"/>
        <w:adjustRightInd w:val="0"/>
        <w:jc w:val="both"/>
        <w:rPr>
          <w:rFonts w:ascii="Tahoma" w:eastAsia="Calibri" w:hAnsi="Tahoma" w:cs="Tahoma"/>
          <w:sz w:val="14"/>
          <w:szCs w:val="21"/>
        </w:rPr>
      </w:pPr>
    </w:p>
    <w:p w:rsidR="00AE494A" w:rsidRPr="007E7FF6" w:rsidRDefault="00AE494A" w:rsidP="00AE494A">
      <w:pPr>
        <w:numPr>
          <w:ilvl w:val="0"/>
          <w:numId w:val="23"/>
        </w:numPr>
        <w:tabs>
          <w:tab w:val="left" w:pos="355"/>
        </w:tabs>
        <w:autoSpaceDE w:val="0"/>
        <w:autoSpaceDN w:val="0"/>
        <w:adjustRightInd w:val="0"/>
        <w:spacing w:line="480" w:lineRule="auto"/>
        <w:jc w:val="both"/>
        <w:rPr>
          <w:rFonts w:ascii="Tahoma" w:eastAsia="Calibri" w:hAnsi="Tahoma" w:cs="Tahoma"/>
          <w:sz w:val="21"/>
          <w:szCs w:val="21"/>
        </w:rPr>
      </w:pPr>
      <w:r w:rsidRPr="007E7FF6">
        <w:rPr>
          <w:rFonts w:ascii="Tahoma" w:eastAsia="Calibri" w:hAnsi="Tahoma" w:cs="Tahoma"/>
          <w:sz w:val="21"/>
          <w:szCs w:val="21"/>
        </w:rPr>
        <w:t>Uwagi Zamawiającego:</w:t>
      </w:r>
    </w:p>
    <w:p w:rsidR="00AE494A" w:rsidRPr="007E7FF6" w:rsidRDefault="00AE494A" w:rsidP="00AE494A">
      <w:pPr>
        <w:tabs>
          <w:tab w:val="left" w:leader="dot" w:pos="4325"/>
          <w:tab w:val="left" w:leader="dot" w:pos="7387"/>
        </w:tabs>
        <w:autoSpaceDE w:val="0"/>
        <w:autoSpaceDN w:val="0"/>
        <w:adjustRightInd w:val="0"/>
        <w:spacing w:line="480" w:lineRule="auto"/>
        <w:jc w:val="both"/>
        <w:rPr>
          <w:rFonts w:ascii="Tahoma" w:eastAsia="Calibri" w:hAnsi="Tahoma" w:cs="Tahoma"/>
          <w:sz w:val="21"/>
          <w:szCs w:val="21"/>
        </w:rPr>
      </w:pPr>
      <w:r w:rsidRPr="007E7FF6">
        <w:rPr>
          <w:rFonts w:ascii="Tahoma" w:eastAsia="Calibri" w:hAnsi="Tahoma" w:cs="Tahoma"/>
          <w:sz w:val="21"/>
          <w:szCs w:val="21"/>
        </w:rPr>
        <w:t>………………………………………………………</w:t>
      </w:r>
      <w:r>
        <w:rPr>
          <w:rFonts w:ascii="Tahoma" w:eastAsia="Calibri" w:hAnsi="Tahoma" w:cs="Tahoma"/>
          <w:sz w:val="21"/>
          <w:szCs w:val="21"/>
        </w:rPr>
        <w:t>…………………………………………………………………………………</w:t>
      </w:r>
    </w:p>
    <w:p w:rsidR="00AE494A" w:rsidRPr="007E7FF6" w:rsidRDefault="00AE494A" w:rsidP="00AE494A">
      <w:pPr>
        <w:tabs>
          <w:tab w:val="left" w:leader="dot" w:pos="4325"/>
          <w:tab w:val="left" w:leader="dot" w:pos="7387"/>
        </w:tabs>
        <w:autoSpaceDE w:val="0"/>
        <w:autoSpaceDN w:val="0"/>
        <w:adjustRightInd w:val="0"/>
        <w:spacing w:line="480" w:lineRule="auto"/>
        <w:jc w:val="both"/>
        <w:rPr>
          <w:rFonts w:ascii="Tahoma" w:eastAsia="Calibri" w:hAnsi="Tahoma" w:cs="Tahoma"/>
          <w:sz w:val="21"/>
          <w:szCs w:val="21"/>
        </w:rPr>
      </w:pPr>
      <w:r w:rsidRPr="007E7FF6">
        <w:rPr>
          <w:rFonts w:ascii="Tahoma" w:eastAsia="Calibri" w:hAnsi="Tahoma" w:cs="Tahoma"/>
          <w:sz w:val="21"/>
          <w:szCs w:val="21"/>
        </w:rPr>
        <w:t>………………………………………………………</w:t>
      </w:r>
      <w:r>
        <w:rPr>
          <w:rFonts w:ascii="Tahoma" w:eastAsia="Calibri" w:hAnsi="Tahoma" w:cs="Tahoma"/>
          <w:sz w:val="21"/>
          <w:szCs w:val="21"/>
        </w:rPr>
        <w:t>…………………………………………………………………………………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2"/>
        <w:gridCol w:w="4957"/>
      </w:tblGrid>
      <w:tr w:rsidR="00AE494A" w:rsidRPr="007E7FF6" w:rsidTr="006B28DD">
        <w:trPr>
          <w:trHeight w:val="170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A" w:rsidRPr="007E7FF6" w:rsidRDefault="00AE494A" w:rsidP="006B28D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A" w:rsidRPr="007E7FF6" w:rsidRDefault="00AE494A" w:rsidP="006B28D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AE494A" w:rsidRPr="007E7FF6" w:rsidTr="006B28DD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A" w:rsidRPr="007E7FF6" w:rsidRDefault="00AE494A" w:rsidP="006B28D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E7FF6">
              <w:rPr>
                <w:rFonts w:ascii="Tahoma" w:hAnsi="Tahoma" w:cs="Tahoma"/>
                <w:sz w:val="21"/>
                <w:szCs w:val="21"/>
              </w:rPr>
              <w:t>Podpis</w:t>
            </w:r>
          </w:p>
          <w:p w:rsidR="00AE494A" w:rsidRPr="007E7FF6" w:rsidRDefault="00AE494A" w:rsidP="006B28D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E7FF6">
              <w:rPr>
                <w:rFonts w:ascii="Tahoma" w:hAnsi="Tahoma" w:cs="Tahoma"/>
                <w:sz w:val="21"/>
                <w:szCs w:val="21"/>
              </w:rPr>
              <w:t>osoba upoważniona Zamawiającego</w:t>
            </w:r>
          </w:p>
          <w:p w:rsidR="00AE494A" w:rsidRPr="007E7FF6" w:rsidRDefault="00AE494A" w:rsidP="006B28D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E7FF6">
              <w:rPr>
                <w:rFonts w:ascii="Tahoma" w:hAnsi="Tahoma" w:cs="Tahoma"/>
                <w:sz w:val="21"/>
                <w:szCs w:val="21"/>
              </w:rPr>
              <w:t>(data, pieczęć, czytelny podpis)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A" w:rsidRPr="007E7FF6" w:rsidRDefault="00AE494A" w:rsidP="006B28D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E7FF6">
              <w:rPr>
                <w:rFonts w:ascii="Tahoma" w:hAnsi="Tahoma" w:cs="Tahoma"/>
                <w:sz w:val="21"/>
                <w:szCs w:val="21"/>
              </w:rPr>
              <w:t>Podpis</w:t>
            </w:r>
          </w:p>
          <w:p w:rsidR="00AE494A" w:rsidRPr="007E7FF6" w:rsidRDefault="00AE494A" w:rsidP="006B28D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E7FF6">
              <w:rPr>
                <w:rFonts w:ascii="Tahoma" w:hAnsi="Tahoma" w:cs="Tahoma"/>
                <w:sz w:val="21"/>
                <w:szCs w:val="21"/>
              </w:rPr>
              <w:t>osoba upoważniona Wykonawcy</w:t>
            </w:r>
          </w:p>
          <w:p w:rsidR="00AE494A" w:rsidRPr="007E7FF6" w:rsidRDefault="00AE494A" w:rsidP="006B28D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E7FF6">
              <w:rPr>
                <w:rFonts w:ascii="Tahoma" w:hAnsi="Tahoma" w:cs="Tahoma"/>
                <w:sz w:val="21"/>
                <w:szCs w:val="21"/>
              </w:rPr>
              <w:t>(data, pieczęć, czytelny podpis)</w:t>
            </w:r>
          </w:p>
        </w:tc>
      </w:tr>
    </w:tbl>
    <w:p w:rsidR="00CC1E2A" w:rsidRDefault="00CC1E2A"/>
    <w:sectPr w:rsidR="00CC1E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B02" w:rsidRDefault="006C1B02" w:rsidP="006C1B02">
      <w:r>
        <w:separator/>
      </w:r>
    </w:p>
  </w:endnote>
  <w:endnote w:type="continuationSeparator" w:id="0">
    <w:p w:rsidR="006C1B02" w:rsidRDefault="006C1B02" w:rsidP="006C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02" w:rsidRDefault="006C1B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02" w:rsidRPr="006C1B02" w:rsidRDefault="006C1B02" w:rsidP="006C1B02">
    <w:pPr>
      <w:tabs>
        <w:tab w:val="center" w:pos="4536"/>
        <w:tab w:val="right" w:pos="9072"/>
      </w:tabs>
      <w:jc w:val="center"/>
    </w:pPr>
    <w:r w:rsidRPr="006C1B02">
      <w:rPr>
        <w:rFonts w:ascii="Tahoma" w:hAnsi="Tahoma" w:cs="Tahoma"/>
        <w:sz w:val="18"/>
      </w:rPr>
      <w:t>Fundusz Bezpieczeństwa Wewnętrznego</w:t>
    </w:r>
  </w:p>
  <w:p w:rsidR="006C1B02" w:rsidRDefault="006C1B02" w:rsidP="006C1B02">
    <w:pPr>
      <w:pStyle w:val="Stopka"/>
      <w:jc w:val="center"/>
    </w:pPr>
    <w:r w:rsidRPr="006C1B02">
      <w:rPr>
        <w:rFonts w:ascii="Tahoma" w:hAnsi="Tahoma" w:cs="Tahoma"/>
        <w:sz w:val="18"/>
      </w:rPr>
      <w:t>Projekt nr PL/2018/PR/0043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02" w:rsidRDefault="006C1B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B02" w:rsidRDefault="006C1B02" w:rsidP="006C1B02">
      <w:r>
        <w:separator/>
      </w:r>
    </w:p>
  </w:footnote>
  <w:footnote w:type="continuationSeparator" w:id="0">
    <w:p w:rsidR="006C1B02" w:rsidRDefault="006C1B02" w:rsidP="006C1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02" w:rsidRDefault="006C1B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02" w:rsidRDefault="006C1B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02" w:rsidRDefault="006C1B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7E72"/>
    <w:multiLevelType w:val="hybridMultilevel"/>
    <w:tmpl w:val="802C8EF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92686A"/>
    <w:multiLevelType w:val="hybridMultilevel"/>
    <w:tmpl w:val="D332E3B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35743B"/>
    <w:multiLevelType w:val="hybridMultilevel"/>
    <w:tmpl w:val="612427D6"/>
    <w:lvl w:ilvl="0" w:tplc="B5E216E8">
      <w:start w:val="1"/>
      <w:numFmt w:val="lowerLetter"/>
      <w:lvlText w:val="%1."/>
      <w:lvlJc w:val="left"/>
      <w:pPr>
        <w:ind w:left="144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C009C6"/>
    <w:multiLevelType w:val="singleLevel"/>
    <w:tmpl w:val="8D2C4334"/>
    <w:lvl w:ilvl="0">
      <w:start w:val="2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 w15:restartNumberingAfterBreak="0">
    <w:nsid w:val="10B530ED"/>
    <w:multiLevelType w:val="hybridMultilevel"/>
    <w:tmpl w:val="76F2AEBA"/>
    <w:lvl w:ilvl="0" w:tplc="FE78E28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D71AD"/>
    <w:multiLevelType w:val="hybridMultilevel"/>
    <w:tmpl w:val="9D76290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BD4839"/>
    <w:multiLevelType w:val="hybridMultilevel"/>
    <w:tmpl w:val="E9947730"/>
    <w:lvl w:ilvl="0" w:tplc="2968BEB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20577"/>
    <w:multiLevelType w:val="multilevel"/>
    <w:tmpl w:val="0EE4BCDA"/>
    <w:lvl w:ilvl="0">
      <w:start w:val="3"/>
      <w:numFmt w:val="decimal"/>
      <w:lvlText w:val="%1."/>
      <w:lvlJc w:val="left"/>
      <w:pPr>
        <w:ind w:left="0" w:firstLine="0"/>
      </w:pPr>
      <w:rPr>
        <w:rFonts w:ascii="Tahoma" w:eastAsia="Arial" w:hAnsi="Tahoma" w:cs="Tahom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ahoma" w:eastAsia="Arial" w:hAnsi="Tahoma" w:cs="Tahom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DE9276C"/>
    <w:multiLevelType w:val="hybridMultilevel"/>
    <w:tmpl w:val="1F88F6F8"/>
    <w:lvl w:ilvl="0" w:tplc="98D6E61C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23328"/>
    <w:multiLevelType w:val="hybridMultilevel"/>
    <w:tmpl w:val="66820F5C"/>
    <w:lvl w:ilvl="0" w:tplc="A47A46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81CC3"/>
    <w:multiLevelType w:val="hybridMultilevel"/>
    <w:tmpl w:val="464401F8"/>
    <w:lvl w:ilvl="0" w:tplc="2352722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9342F"/>
    <w:multiLevelType w:val="hybridMultilevel"/>
    <w:tmpl w:val="70F8521E"/>
    <w:lvl w:ilvl="0" w:tplc="E3E0A646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E0237"/>
    <w:multiLevelType w:val="hybridMultilevel"/>
    <w:tmpl w:val="31366530"/>
    <w:lvl w:ilvl="0" w:tplc="527A98C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B6C04"/>
    <w:multiLevelType w:val="hybridMultilevel"/>
    <w:tmpl w:val="3754E5DE"/>
    <w:lvl w:ilvl="0" w:tplc="14EA9CD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74E92"/>
    <w:multiLevelType w:val="hybridMultilevel"/>
    <w:tmpl w:val="E50C7C0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A708BD"/>
    <w:multiLevelType w:val="hybridMultilevel"/>
    <w:tmpl w:val="FA92468C"/>
    <w:lvl w:ilvl="0" w:tplc="04150019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534838D6"/>
    <w:multiLevelType w:val="hybridMultilevel"/>
    <w:tmpl w:val="3996A1E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EF22F9"/>
    <w:multiLevelType w:val="hybridMultilevel"/>
    <w:tmpl w:val="C5840620"/>
    <w:lvl w:ilvl="0" w:tplc="A7645A8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B7253"/>
    <w:multiLevelType w:val="hybridMultilevel"/>
    <w:tmpl w:val="362A7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77C44"/>
    <w:multiLevelType w:val="hybridMultilevel"/>
    <w:tmpl w:val="67AC8E5A"/>
    <w:lvl w:ilvl="0" w:tplc="BC708DBC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8188A"/>
    <w:multiLevelType w:val="hybridMultilevel"/>
    <w:tmpl w:val="4EB6EE76"/>
    <w:lvl w:ilvl="0" w:tplc="E3863FD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42F6E"/>
    <w:multiLevelType w:val="hybridMultilevel"/>
    <w:tmpl w:val="8A7C188C"/>
    <w:lvl w:ilvl="0" w:tplc="5A1EA86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359FB"/>
    <w:multiLevelType w:val="multilevel"/>
    <w:tmpl w:val="5692B5F2"/>
    <w:lvl w:ilvl="0">
      <w:start w:val="1"/>
      <w:numFmt w:val="decimal"/>
      <w:lvlText w:val="%1."/>
      <w:lvlJc w:val="left"/>
      <w:pPr>
        <w:ind w:left="0" w:firstLine="0"/>
      </w:pPr>
      <w:rPr>
        <w:rFonts w:ascii="Tahoma" w:hAnsi="Tahoma" w:cs="Tahom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BB05BC6"/>
    <w:multiLevelType w:val="hybridMultilevel"/>
    <w:tmpl w:val="E7A8941C"/>
    <w:lvl w:ilvl="0" w:tplc="76F869BA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179AD"/>
    <w:multiLevelType w:val="hybridMultilevel"/>
    <w:tmpl w:val="4A1A3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12"/>
  </w:num>
  <w:num w:numId="4">
    <w:abstractNumId w:val="14"/>
  </w:num>
  <w:num w:numId="5">
    <w:abstractNumId w:val="20"/>
  </w:num>
  <w:num w:numId="6">
    <w:abstractNumId w:val="6"/>
  </w:num>
  <w:num w:numId="7">
    <w:abstractNumId w:val="15"/>
  </w:num>
  <w:num w:numId="8">
    <w:abstractNumId w:val="4"/>
  </w:num>
  <w:num w:numId="9">
    <w:abstractNumId w:val="23"/>
  </w:num>
  <w:num w:numId="10">
    <w:abstractNumId w:val="9"/>
  </w:num>
  <w:num w:numId="11">
    <w:abstractNumId w:val="1"/>
  </w:num>
  <w:num w:numId="12">
    <w:abstractNumId w:val="13"/>
  </w:num>
  <w:num w:numId="13">
    <w:abstractNumId w:val="10"/>
  </w:num>
  <w:num w:numId="14">
    <w:abstractNumId w:val="21"/>
  </w:num>
  <w:num w:numId="15">
    <w:abstractNumId w:val="0"/>
  </w:num>
  <w:num w:numId="16">
    <w:abstractNumId w:val="11"/>
  </w:num>
  <w:num w:numId="17">
    <w:abstractNumId w:val="16"/>
  </w:num>
  <w:num w:numId="18">
    <w:abstractNumId w:val="8"/>
  </w:num>
  <w:num w:numId="19">
    <w:abstractNumId w:val="5"/>
  </w:num>
  <w:num w:numId="20">
    <w:abstractNumId w:val="7"/>
  </w:num>
  <w:num w:numId="21">
    <w:abstractNumId w:val="19"/>
  </w:num>
  <w:num w:numId="22">
    <w:abstractNumId w:val="17"/>
  </w:num>
  <w:num w:numId="23">
    <w:abstractNumId w:val="3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4A"/>
    <w:rsid w:val="00275E8D"/>
    <w:rsid w:val="006C1B02"/>
    <w:rsid w:val="00AB1641"/>
    <w:rsid w:val="00AE494A"/>
    <w:rsid w:val="00CC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09648-8ACD-4C92-BFBC-94F37A19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E494A"/>
    <w:pPr>
      <w:ind w:left="720"/>
      <w:contextualSpacing/>
    </w:pPr>
  </w:style>
  <w:style w:type="table" w:styleId="Tabela-Siatka">
    <w:name w:val="Table Grid"/>
    <w:basedOn w:val="Standardowy"/>
    <w:uiPriority w:val="39"/>
    <w:rsid w:val="00AE4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AE49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harStyle69">
    <w:name w:val="Char Style 69"/>
    <w:basedOn w:val="Domylnaczcionkaakapitu"/>
    <w:link w:val="Style68"/>
    <w:rsid w:val="00AE494A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CharStyle71">
    <w:name w:val="Char Style 71"/>
    <w:basedOn w:val="Domylnaczcionkaakapitu"/>
    <w:link w:val="Style70"/>
    <w:rsid w:val="00AE494A"/>
    <w:rPr>
      <w:rFonts w:ascii="Arial" w:eastAsia="Arial" w:hAnsi="Arial" w:cs="Arial"/>
      <w:shd w:val="clear" w:color="auto" w:fill="FFFFFF"/>
    </w:rPr>
  </w:style>
  <w:style w:type="paragraph" w:customStyle="1" w:styleId="Style68">
    <w:name w:val="Style 68"/>
    <w:basedOn w:val="Normalny"/>
    <w:link w:val="CharStyle69"/>
    <w:qFormat/>
    <w:rsid w:val="00AE494A"/>
    <w:pPr>
      <w:widowControl w:val="0"/>
      <w:shd w:val="clear" w:color="auto" w:fill="FFFFFF"/>
      <w:spacing w:after="580" w:line="358" w:lineRule="exact"/>
      <w:ind w:hanging="400"/>
      <w:jc w:val="both"/>
      <w:outlineLvl w:val="0"/>
    </w:pPr>
    <w:rPr>
      <w:rFonts w:ascii="Arial" w:eastAsia="Arial" w:hAnsi="Arial" w:cs="Arial"/>
      <w:b/>
      <w:bCs/>
      <w:sz w:val="32"/>
      <w:szCs w:val="32"/>
      <w:lang w:eastAsia="en-US"/>
    </w:rPr>
  </w:style>
  <w:style w:type="paragraph" w:customStyle="1" w:styleId="Style70">
    <w:name w:val="Style 70"/>
    <w:basedOn w:val="Normalny"/>
    <w:link w:val="CharStyle71"/>
    <w:rsid w:val="00AE494A"/>
    <w:pPr>
      <w:widowControl w:val="0"/>
      <w:shd w:val="clear" w:color="auto" w:fill="FFFFFF"/>
      <w:spacing w:before="580" w:line="408" w:lineRule="exact"/>
      <w:ind w:hanging="600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C1B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1B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1B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1B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C1B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2788</Words>
  <Characters>16731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Borycki Tomasz</cp:lastModifiedBy>
  <cp:revision>4</cp:revision>
  <dcterms:created xsi:type="dcterms:W3CDTF">2022-01-04T07:25:00Z</dcterms:created>
  <dcterms:modified xsi:type="dcterms:W3CDTF">2022-01-04T12:19:00Z</dcterms:modified>
</cp:coreProperties>
</file>